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31AAD" w14:textId="3C7B8FAB" w:rsidR="00EB0905" w:rsidRPr="00EB0905" w:rsidRDefault="00EB0905" w:rsidP="00EB0905">
      <w:pPr>
        <w:pStyle w:val="Nidung"/>
        <w:suppressAutoHyphens/>
        <w:spacing w:before="60"/>
        <w:jc w:val="center"/>
        <w:rPr>
          <w:b/>
          <w:bCs/>
          <w:color w:val="auto"/>
          <w:kern w:val="2"/>
          <w:sz w:val="28"/>
          <w:szCs w:val="28"/>
          <w:lang w:val="fr-FR"/>
        </w:rPr>
      </w:pPr>
      <w:bookmarkStart w:id="0" w:name="_GoBack"/>
      <w:r w:rsidRPr="00EB0905">
        <w:rPr>
          <w:b/>
          <w:bCs/>
          <w:color w:val="auto"/>
          <w:kern w:val="2"/>
          <w:sz w:val="28"/>
          <w:szCs w:val="28"/>
          <w:lang w:val="fr-FR"/>
        </w:rPr>
        <w:t>CÔNG BỐ SẢN LƯỢNG ĐIỆN TIÊU THỤ HUYỆN LỘC BÌNH</w:t>
      </w:r>
      <w:r w:rsidR="002658DF">
        <w:rPr>
          <w:b/>
          <w:bCs/>
          <w:color w:val="auto"/>
          <w:kern w:val="2"/>
          <w:sz w:val="28"/>
          <w:szCs w:val="28"/>
          <w:lang w:val="fr-FR"/>
        </w:rPr>
        <w:t xml:space="preserve"> </w:t>
      </w:r>
      <w:r w:rsidRPr="00EB0905">
        <w:rPr>
          <w:b/>
          <w:bCs/>
          <w:color w:val="auto"/>
          <w:kern w:val="2"/>
          <w:sz w:val="28"/>
          <w:szCs w:val="28"/>
          <w:lang w:val="fr-FR"/>
        </w:rPr>
        <w:t>THÁNG 3 NĂM 2024</w:t>
      </w:r>
    </w:p>
    <w:bookmarkEnd w:id="0"/>
    <w:p w14:paraId="11A1E414" w14:textId="77777777" w:rsidR="00EB0905" w:rsidRPr="005B3BB2" w:rsidRDefault="00EB0905" w:rsidP="009C4DFA">
      <w:pPr>
        <w:pStyle w:val="Nidung"/>
        <w:suppressAutoHyphens/>
        <w:spacing w:before="60"/>
        <w:jc w:val="both"/>
        <w:rPr>
          <w:color w:val="auto"/>
          <w:kern w:val="2"/>
          <w:sz w:val="28"/>
          <w:szCs w:val="28"/>
          <w:lang w:val="fr-FR"/>
        </w:rPr>
      </w:pPr>
    </w:p>
    <w:p w14:paraId="5C3AE334" w14:textId="1A302A9D" w:rsidR="001E134C" w:rsidRDefault="001E134C" w:rsidP="00771315">
      <w:pPr>
        <w:pStyle w:val="ListParagraph"/>
        <w:numPr>
          <w:ilvl w:val="0"/>
          <w:numId w:val="3"/>
        </w:numPr>
        <w:spacing w:before="60"/>
        <w:jc w:val="both"/>
        <w:rPr>
          <w:b/>
          <w:bCs/>
          <w:iCs/>
          <w:sz w:val="28"/>
          <w:szCs w:val="28"/>
          <w:lang w:val="fr-FR"/>
        </w:rPr>
      </w:pPr>
      <w:r w:rsidRPr="00883DCB">
        <w:rPr>
          <w:b/>
          <w:bCs/>
          <w:iCs/>
          <w:sz w:val="28"/>
          <w:szCs w:val="28"/>
          <w:lang w:val="fr-FR"/>
        </w:rPr>
        <w:t>Tổng thương phẩm</w:t>
      </w:r>
      <w:r w:rsidR="00EB0905">
        <w:rPr>
          <w:b/>
          <w:bCs/>
          <w:iCs/>
          <w:sz w:val="28"/>
          <w:szCs w:val="28"/>
          <w:lang w:val="fr-FR"/>
        </w:rPr>
        <w:t xml:space="preserve"> của huyện</w:t>
      </w:r>
      <w:r w:rsidRPr="00883DCB">
        <w:rPr>
          <w:b/>
          <w:bCs/>
          <w:iCs/>
          <w:sz w:val="28"/>
          <w:szCs w:val="28"/>
          <w:lang w:val="fr-FR"/>
        </w:rPr>
        <w:t xml:space="preserve"> theo 5 thành phần phụ tải:</w:t>
      </w:r>
    </w:p>
    <w:p w14:paraId="33F35C7E" w14:textId="35545974" w:rsidR="00771315" w:rsidRPr="00771315" w:rsidRDefault="00771315" w:rsidP="00771315">
      <w:pPr>
        <w:spacing w:before="60"/>
        <w:ind w:left="567"/>
        <w:jc w:val="both"/>
        <w:rPr>
          <w:iCs/>
          <w:sz w:val="28"/>
          <w:szCs w:val="28"/>
          <w:lang w:val="fr-FR"/>
        </w:rPr>
      </w:pPr>
      <w:r w:rsidRPr="00771315">
        <w:rPr>
          <w:iCs/>
          <w:sz w:val="28"/>
          <w:szCs w:val="28"/>
          <w:lang w:val="fr-FR"/>
        </w:rPr>
        <w:t xml:space="preserve">Tổng thương phẩm điện tiêu thụ tháng 03/2024 của toàn Huyện Lộc Bình thực hiện 6,31 triệu kWh, tăng 17,7% so với cùng kỳ, tương ứng tăng 0,94 triệu kWh. </w:t>
      </w:r>
      <w:r>
        <w:rPr>
          <w:iCs/>
          <w:sz w:val="28"/>
          <w:szCs w:val="28"/>
          <w:lang w:val="fr-FR"/>
        </w:rPr>
        <w:t>Trong đó, thành phần thương phẩm có mức tăng trưởng mạnh nhất là KDDV tăng 32,3%, QLTD tăng 19,1%. Chi tết các thành phần :</w:t>
      </w:r>
    </w:p>
    <w:p w14:paraId="71290F34" w14:textId="77777777" w:rsidR="00062C92" w:rsidRDefault="00062C92" w:rsidP="000530C0">
      <w:pPr>
        <w:pStyle w:val="ListParagraph"/>
        <w:spacing w:before="60"/>
        <w:ind w:left="567"/>
        <w:jc w:val="both"/>
        <w:rPr>
          <w:b/>
          <w:bCs/>
          <w:iCs/>
          <w:sz w:val="28"/>
          <w:szCs w:val="28"/>
          <w:lang w:val="fr-FR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489"/>
        <w:gridCol w:w="1492"/>
        <w:gridCol w:w="1190"/>
        <w:gridCol w:w="1311"/>
        <w:gridCol w:w="1311"/>
        <w:gridCol w:w="1432"/>
        <w:gridCol w:w="1109"/>
        <w:gridCol w:w="1190"/>
        <w:gridCol w:w="1402"/>
      </w:tblGrid>
      <w:tr w:rsidR="003C0CF3" w14:paraId="34C11277" w14:textId="77777777" w:rsidTr="00771315">
        <w:trPr>
          <w:trHeight w:val="367"/>
        </w:trPr>
        <w:tc>
          <w:tcPr>
            <w:tcW w:w="670" w:type="dxa"/>
            <w:vMerge w:val="restart"/>
            <w:shd w:val="clear" w:color="auto" w:fill="auto"/>
            <w:noWrap/>
            <w:vAlign w:val="center"/>
            <w:hideMark/>
          </w:tcPr>
          <w:p w14:paraId="7CAC0034" w14:textId="469D0BF4" w:rsidR="003C0CF3" w:rsidRDefault="00771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STT</w:t>
            </w:r>
          </w:p>
        </w:tc>
        <w:tc>
          <w:tcPr>
            <w:tcW w:w="3489" w:type="dxa"/>
            <w:vMerge w:val="restart"/>
            <w:shd w:val="clear" w:color="auto" w:fill="auto"/>
            <w:vAlign w:val="center"/>
            <w:hideMark/>
          </w:tcPr>
          <w:p w14:paraId="6D90C984" w14:textId="623EE15F" w:rsidR="003C0CF3" w:rsidRDefault="00771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Thành phần</w:t>
            </w:r>
          </w:p>
        </w:tc>
        <w:tc>
          <w:tcPr>
            <w:tcW w:w="5304" w:type="dxa"/>
            <w:gridSpan w:val="4"/>
            <w:shd w:val="clear" w:color="auto" w:fill="auto"/>
            <w:noWrap/>
            <w:vAlign w:val="bottom"/>
            <w:hideMark/>
          </w:tcPr>
          <w:p w14:paraId="668FCC41" w14:textId="77777777" w:rsidR="003C0CF3" w:rsidRDefault="003C0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Tháng 03/2024</w:t>
            </w:r>
          </w:p>
        </w:tc>
        <w:tc>
          <w:tcPr>
            <w:tcW w:w="5133" w:type="dxa"/>
            <w:gridSpan w:val="4"/>
            <w:shd w:val="clear" w:color="auto" w:fill="auto"/>
            <w:noWrap/>
            <w:vAlign w:val="bottom"/>
            <w:hideMark/>
          </w:tcPr>
          <w:p w14:paraId="359BCAD5" w14:textId="77777777" w:rsidR="003C0CF3" w:rsidRDefault="003C0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Lũy kế năm 2024</w:t>
            </w:r>
          </w:p>
        </w:tc>
      </w:tr>
      <w:tr w:rsidR="003C0CF3" w14:paraId="6797CB88" w14:textId="77777777" w:rsidTr="00771315">
        <w:trPr>
          <w:trHeight w:val="367"/>
        </w:trPr>
        <w:tc>
          <w:tcPr>
            <w:tcW w:w="670" w:type="dxa"/>
            <w:vMerge/>
            <w:vAlign w:val="center"/>
            <w:hideMark/>
          </w:tcPr>
          <w:p w14:paraId="6DEE24D6" w14:textId="77777777" w:rsidR="003C0CF3" w:rsidRDefault="003C0CF3">
            <w:pPr>
              <w:rPr>
                <w:b/>
                <w:bCs/>
              </w:rPr>
            </w:pPr>
          </w:p>
        </w:tc>
        <w:tc>
          <w:tcPr>
            <w:tcW w:w="3489" w:type="dxa"/>
            <w:vMerge/>
            <w:vAlign w:val="center"/>
            <w:hideMark/>
          </w:tcPr>
          <w:p w14:paraId="64081C21" w14:textId="77777777" w:rsidR="003C0CF3" w:rsidRDefault="003C0CF3">
            <w:pPr>
              <w:rPr>
                <w:b/>
                <w:bCs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14:paraId="262BF788" w14:textId="30F8CE00" w:rsidR="003C0CF3" w:rsidRDefault="00771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Thương phẩm</w:t>
            </w:r>
            <w:r w:rsidR="003C0CF3">
              <w:rPr>
                <w:b/>
                <w:bCs/>
              </w:rPr>
              <w:br/>
              <w:t>(kwh)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  <w:hideMark/>
          </w:tcPr>
          <w:p w14:paraId="7FC3D234" w14:textId="77777777" w:rsidR="003C0CF3" w:rsidRDefault="003C0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Tỷ trọng</w:t>
            </w:r>
            <w:r>
              <w:rPr>
                <w:b/>
                <w:bCs/>
              </w:rPr>
              <w:br/>
              <w:t xml:space="preserve">(%) </w:t>
            </w:r>
          </w:p>
        </w:tc>
        <w:tc>
          <w:tcPr>
            <w:tcW w:w="2622" w:type="dxa"/>
            <w:gridSpan w:val="2"/>
            <w:shd w:val="clear" w:color="auto" w:fill="auto"/>
            <w:noWrap/>
            <w:vAlign w:val="bottom"/>
            <w:hideMark/>
          </w:tcPr>
          <w:p w14:paraId="1663FEC4" w14:textId="77777777" w:rsidR="003C0CF3" w:rsidRDefault="003C0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 sánh cùng kỳ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  <w:hideMark/>
          </w:tcPr>
          <w:p w14:paraId="15317202" w14:textId="3437D5B5" w:rsidR="003C0CF3" w:rsidRDefault="00771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Thương phẩm</w:t>
            </w:r>
            <w:r w:rsidR="003C0CF3">
              <w:rPr>
                <w:b/>
                <w:bCs/>
              </w:rPr>
              <w:t xml:space="preserve"> (kwh)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  <w:hideMark/>
          </w:tcPr>
          <w:p w14:paraId="24EF712C" w14:textId="77777777" w:rsidR="003C0CF3" w:rsidRDefault="003C0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Tỷ trọng</w:t>
            </w:r>
            <w:r>
              <w:rPr>
                <w:b/>
                <w:bCs/>
              </w:rPr>
              <w:br/>
              <w:t>(%)</w:t>
            </w:r>
          </w:p>
        </w:tc>
        <w:tc>
          <w:tcPr>
            <w:tcW w:w="2592" w:type="dxa"/>
            <w:gridSpan w:val="2"/>
            <w:shd w:val="clear" w:color="auto" w:fill="auto"/>
            <w:noWrap/>
            <w:vAlign w:val="bottom"/>
            <w:hideMark/>
          </w:tcPr>
          <w:p w14:paraId="10D5728A" w14:textId="77777777" w:rsidR="003C0CF3" w:rsidRDefault="003C0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 sánh cùng kỳ</w:t>
            </w:r>
          </w:p>
        </w:tc>
      </w:tr>
      <w:tr w:rsidR="003C0CF3" w14:paraId="1D688395" w14:textId="77777777" w:rsidTr="00771315">
        <w:trPr>
          <w:trHeight w:val="707"/>
        </w:trPr>
        <w:tc>
          <w:tcPr>
            <w:tcW w:w="670" w:type="dxa"/>
            <w:vMerge/>
            <w:vAlign w:val="center"/>
            <w:hideMark/>
          </w:tcPr>
          <w:p w14:paraId="45681179" w14:textId="77777777" w:rsidR="003C0CF3" w:rsidRDefault="003C0CF3">
            <w:pPr>
              <w:rPr>
                <w:b/>
                <w:bCs/>
              </w:rPr>
            </w:pPr>
          </w:p>
        </w:tc>
        <w:tc>
          <w:tcPr>
            <w:tcW w:w="3489" w:type="dxa"/>
            <w:vMerge/>
            <w:vAlign w:val="center"/>
            <w:hideMark/>
          </w:tcPr>
          <w:p w14:paraId="44732C78" w14:textId="77777777" w:rsidR="003C0CF3" w:rsidRDefault="003C0CF3">
            <w:pPr>
              <w:rPr>
                <w:b/>
                <w:bCs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14:paraId="117DC573" w14:textId="77777777" w:rsidR="003C0CF3" w:rsidRDefault="003C0CF3">
            <w:pPr>
              <w:rPr>
                <w:b/>
                <w:bCs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14:paraId="210C75B1" w14:textId="77777777" w:rsidR="003C0CF3" w:rsidRDefault="003C0CF3">
            <w:pPr>
              <w:rPr>
                <w:b/>
                <w:bCs/>
              </w:rPr>
            </w:pP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760BC184" w14:textId="77777777" w:rsidR="003C0CF3" w:rsidRDefault="003C0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Tỷ lệ</w:t>
            </w:r>
            <w:r>
              <w:rPr>
                <w:b/>
                <w:bCs/>
              </w:rPr>
              <w:br/>
              <w:t>(%)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3C0BEA53" w14:textId="77777777" w:rsidR="003C0CF3" w:rsidRDefault="003C0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Sản lượng (kWh)</w:t>
            </w:r>
          </w:p>
        </w:tc>
        <w:tc>
          <w:tcPr>
            <w:tcW w:w="1432" w:type="dxa"/>
            <w:vMerge/>
            <w:vAlign w:val="center"/>
            <w:hideMark/>
          </w:tcPr>
          <w:p w14:paraId="30295848" w14:textId="77777777" w:rsidR="003C0CF3" w:rsidRDefault="003C0CF3">
            <w:pPr>
              <w:rPr>
                <w:b/>
                <w:bCs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14:paraId="3D2C8BBD" w14:textId="77777777" w:rsidR="003C0CF3" w:rsidRDefault="003C0CF3">
            <w:pPr>
              <w:rPr>
                <w:b/>
                <w:bCs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14:paraId="70F9935F" w14:textId="77777777" w:rsidR="003C0CF3" w:rsidRDefault="003C0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Tỷ lệ</w:t>
            </w:r>
            <w:r>
              <w:rPr>
                <w:b/>
                <w:bCs/>
              </w:rPr>
              <w:br/>
              <w:t>(%)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14:paraId="319788D1" w14:textId="77777777" w:rsidR="003C0CF3" w:rsidRDefault="003C0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Sản lượng (kWh)</w:t>
            </w:r>
          </w:p>
        </w:tc>
      </w:tr>
      <w:tr w:rsidR="003C0CF3" w14:paraId="5454941C" w14:textId="77777777" w:rsidTr="00771315">
        <w:trPr>
          <w:trHeight w:val="367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D8CB3CF" w14:textId="77777777" w:rsidR="003C0CF3" w:rsidRDefault="003C0CF3">
            <w:pPr>
              <w:jc w:val="center"/>
            </w:pPr>
            <w:r>
              <w:t>1</w:t>
            </w:r>
          </w:p>
        </w:tc>
        <w:tc>
          <w:tcPr>
            <w:tcW w:w="3489" w:type="dxa"/>
            <w:shd w:val="clear" w:color="auto" w:fill="auto"/>
            <w:vAlign w:val="bottom"/>
            <w:hideMark/>
          </w:tcPr>
          <w:p w14:paraId="29DAED62" w14:textId="77777777" w:rsidR="003C0CF3" w:rsidRDefault="003C0CF3">
            <w:r>
              <w:t>Nông, lâm nghiệp, thuỷ sản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4ED192A1" w14:textId="77777777" w:rsidR="003C0CF3" w:rsidRDefault="003C0CF3" w:rsidP="003C0CF3">
            <w:pPr>
              <w:jc w:val="right"/>
            </w:pPr>
            <w:r>
              <w:t xml:space="preserve">           81,115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8F31602" w14:textId="77777777" w:rsidR="003C0CF3" w:rsidRDefault="003C0CF3" w:rsidP="003C0CF3">
            <w:pPr>
              <w:jc w:val="right"/>
            </w:pPr>
            <w:r>
              <w:t xml:space="preserve">          1.28 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0A03DAC" w14:textId="77777777" w:rsidR="003C0CF3" w:rsidRDefault="003C0CF3" w:rsidP="003C0CF3">
            <w:pPr>
              <w:jc w:val="right"/>
            </w:pPr>
            <w:r>
              <w:t xml:space="preserve">        110.22 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E6A9507" w14:textId="77777777" w:rsidR="003C0CF3" w:rsidRDefault="003C0CF3" w:rsidP="003C0CF3">
            <w:pPr>
              <w:jc w:val="right"/>
            </w:pPr>
            <w:r>
              <w:t xml:space="preserve">          7,520 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79E3E117" w14:textId="77777777" w:rsidR="003C0CF3" w:rsidRDefault="003C0CF3" w:rsidP="003C0CF3">
            <w:pPr>
              <w:jc w:val="right"/>
            </w:pPr>
            <w:r>
              <w:t xml:space="preserve">        252,227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63F39DD" w14:textId="77777777" w:rsidR="003C0CF3" w:rsidRDefault="003C0CF3" w:rsidP="003C0CF3">
            <w:pPr>
              <w:jc w:val="right"/>
            </w:pPr>
            <w:r>
              <w:t xml:space="preserve">         1.28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29B90F4" w14:textId="77777777" w:rsidR="003C0CF3" w:rsidRDefault="003C0CF3" w:rsidP="003C0CF3">
            <w:pPr>
              <w:jc w:val="right"/>
            </w:pPr>
            <w:r>
              <w:t xml:space="preserve">      153.01 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1514A6ED" w14:textId="77777777" w:rsidR="003C0CF3" w:rsidRDefault="003C0CF3" w:rsidP="003C0CF3">
            <w:pPr>
              <w:jc w:val="right"/>
            </w:pPr>
            <w:r>
              <w:t xml:space="preserve">      87,382 </w:t>
            </w:r>
          </w:p>
        </w:tc>
      </w:tr>
      <w:tr w:rsidR="003C0CF3" w14:paraId="52B3FF8D" w14:textId="77777777" w:rsidTr="00771315">
        <w:trPr>
          <w:trHeight w:val="367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BC2D0FC" w14:textId="77777777" w:rsidR="003C0CF3" w:rsidRDefault="003C0CF3">
            <w:pPr>
              <w:jc w:val="center"/>
            </w:pPr>
            <w:r>
              <w:t>2</w:t>
            </w:r>
          </w:p>
        </w:tc>
        <w:tc>
          <w:tcPr>
            <w:tcW w:w="3489" w:type="dxa"/>
            <w:shd w:val="clear" w:color="auto" w:fill="auto"/>
            <w:vAlign w:val="bottom"/>
            <w:hideMark/>
          </w:tcPr>
          <w:p w14:paraId="0BD83315" w14:textId="77777777" w:rsidR="003C0CF3" w:rsidRDefault="003C0CF3">
            <w:r>
              <w:t>Công nghiệp, Xây dựng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002C76D0" w14:textId="77777777" w:rsidR="003C0CF3" w:rsidRDefault="003C0CF3" w:rsidP="003C0CF3">
            <w:pPr>
              <w:jc w:val="right"/>
            </w:pPr>
            <w:r>
              <w:t xml:space="preserve">      1,027,668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4D6B64B" w14:textId="77777777" w:rsidR="003C0CF3" w:rsidRDefault="003C0CF3" w:rsidP="003C0CF3">
            <w:pPr>
              <w:jc w:val="right"/>
            </w:pPr>
            <w:r>
              <w:t xml:space="preserve">        16.27 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C1C45F1" w14:textId="77777777" w:rsidR="003C0CF3" w:rsidRDefault="003C0CF3" w:rsidP="003C0CF3">
            <w:pPr>
              <w:jc w:val="right"/>
            </w:pPr>
            <w:r>
              <w:t xml:space="preserve">        109.79 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3B42FF3" w14:textId="77777777" w:rsidR="003C0CF3" w:rsidRDefault="003C0CF3" w:rsidP="003C0CF3">
            <w:pPr>
              <w:jc w:val="right"/>
            </w:pPr>
            <w:r>
              <w:t xml:space="preserve">        91,611 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12A071CB" w14:textId="77777777" w:rsidR="003C0CF3" w:rsidRDefault="003C0CF3" w:rsidP="003C0CF3">
            <w:pPr>
              <w:jc w:val="right"/>
            </w:pPr>
            <w:r>
              <w:t xml:space="preserve">     3,204,446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03A3D88" w14:textId="77777777" w:rsidR="003C0CF3" w:rsidRDefault="003C0CF3" w:rsidP="003C0CF3">
            <w:pPr>
              <w:jc w:val="right"/>
            </w:pPr>
            <w:r>
              <w:t xml:space="preserve">       16.23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5575A81" w14:textId="77777777" w:rsidR="003C0CF3" w:rsidRDefault="003C0CF3" w:rsidP="003C0CF3">
            <w:pPr>
              <w:jc w:val="right"/>
            </w:pPr>
            <w:r>
              <w:t xml:space="preserve">        99.66 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4337E75F" w14:textId="77777777" w:rsidR="003C0CF3" w:rsidRDefault="003C0CF3" w:rsidP="003C0CF3">
            <w:pPr>
              <w:jc w:val="right"/>
            </w:pPr>
            <w:r>
              <w:t xml:space="preserve">     (10,986)</w:t>
            </w:r>
          </w:p>
        </w:tc>
      </w:tr>
      <w:tr w:rsidR="003C0CF3" w14:paraId="275173BF" w14:textId="77777777" w:rsidTr="00771315">
        <w:trPr>
          <w:trHeight w:val="587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E5FAE78" w14:textId="77777777" w:rsidR="003C0CF3" w:rsidRDefault="003C0CF3">
            <w:pPr>
              <w:jc w:val="center"/>
            </w:pPr>
            <w:r>
              <w:t>3</w:t>
            </w:r>
          </w:p>
        </w:tc>
        <w:tc>
          <w:tcPr>
            <w:tcW w:w="3489" w:type="dxa"/>
            <w:shd w:val="clear" w:color="auto" w:fill="auto"/>
            <w:vAlign w:val="bottom"/>
            <w:hideMark/>
          </w:tcPr>
          <w:p w14:paraId="17B5212A" w14:textId="77777777" w:rsidR="003C0CF3" w:rsidRDefault="003C0CF3">
            <w:r>
              <w:t>Thương nghiệp, khách sạn, nhà hàng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1AC60D7F" w14:textId="77777777" w:rsidR="003C0CF3" w:rsidRDefault="003C0CF3" w:rsidP="003C0CF3">
            <w:pPr>
              <w:jc w:val="right"/>
            </w:pPr>
            <w:r>
              <w:t xml:space="preserve">         436,036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B006E52" w14:textId="77777777" w:rsidR="003C0CF3" w:rsidRDefault="003C0CF3" w:rsidP="003C0CF3">
            <w:pPr>
              <w:jc w:val="right"/>
            </w:pPr>
            <w:r>
              <w:t xml:space="preserve">          6.90 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A950793" w14:textId="77777777" w:rsidR="003C0CF3" w:rsidRDefault="003C0CF3" w:rsidP="003C0CF3">
            <w:pPr>
              <w:jc w:val="right"/>
            </w:pPr>
            <w:r>
              <w:t xml:space="preserve">        132.34 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2504653" w14:textId="77777777" w:rsidR="003C0CF3" w:rsidRDefault="003C0CF3" w:rsidP="003C0CF3">
            <w:pPr>
              <w:jc w:val="right"/>
            </w:pPr>
            <w:r>
              <w:t xml:space="preserve">      106,562 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3CA6D9A2" w14:textId="77777777" w:rsidR="003C0CF3" w:rsidRDefault="003C0CF3" w:rsidP="003C0CF3">
            <w:pPr>
              <w:jc w:val="right"/>
            </w:pPr>
            <w:r>
              <w:t xml:space="preserve">     1,310,770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7F802E0" w14:textId="77777777" w:rsidR="003C0CF3" w:rsidRDefault="003C0CF3" w:rsidP="003C0CF3">
            <w:pPr>
              <w:jc w:val="right"/>
            </w:pPr>
            <w:r>
              <w:t xml:space="preserve">         6.64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0934236" w14:textId="77777777" w:rsidR="003C0CF3" w:rsidRDefault="003C0CF3" w:rsidP="003C0CF3">
            <w:pPr>
              <w:jc w:val="right"/>
            </w:pPr>
            <w:r>
              <w:t xml:space="preserve">      131.38 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1C5FEE9B" w14:textId="77777777" w:rsidR="003C0CF3" w:rsidRDefault="003C0CF3" w:rsidP="003C0CF3">
            <w:pPr>
              <w:jc w:val="right"/>
            </w:pPr>
            <w:r>
              <w:t xml:space="preserve">    313,047 </w:t>
            </w:r>
          </w:p>
        </w:tc>
      </w:tr>
      <w:tr w:rsidR="003C0CF3" w14:paraId="60EFD2DE" w14:textId="77777777" w:rsidTr="00771315">
        <w:trPr>
          <w:trHeight w:val="367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AD22C24" w14:textId="77777777" w:rsidR="003C0CF3" w:rsidRDefault="003C0CF3">
            <w:pPr>
              <w:jc w:val="center"/>
            </w:pPr>
            <w:r>
              <w:t>4</w:t>
            </w:r>
          </w:p>
        </w:tc>
        <w:tc>
          <w:tcPr>
            <w:tcW w:w="3489" w:type="dxa"/>
            <w:shd w:val="clear" w:color="auto" w:fill="auto"/>
            <w:vAlign w:val="bottom"/>
            <w:hideMark/>
          </w:tcPr>
          <w:p w14:paraId="6BF46566" w14:textId="77777777" w:rsidR="003C0CF3" w:rsidRDefault="003C0CF3">
            <w:r>
              <w:t>Quản lý, tiêu dùng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19E2F1DE" w14:textId="77777777" w:rsidR="003C0CF3" w:rsidRDefault="003C0CF3" w:rsidP="003C0CF3">
            <w:pPr>
              <w:jc w:val="right"/>
            </w:pPr>
            <w:r>
              <w:t xml:space="preserve">      4,185,243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2659635" w14:textId="77777777" w:rsidR="003C0CF3" w:rsidRDefault="003C0CF3" w:rsidP="003C0CF3">
            <w:pPr>
              <w:jc w:val="right"/>
            </w:pPr>
            <w:r>
              <w:t xml:space="preserve">        66.28 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E4050CF" w14:textId="77777777" w:rsidR="003C0CF3" w:rsidRDefault="003C0CF3" w:rsidP="003C0CF3">
            <w:pPr>
              <w:jc w:val="right"/>
            </w:pPr>
            <w:r>
              <w:t xml:space="preserve">        119.16 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4690213" w14:textId="77777777" w:rsidR="003C0CF3" w:rsidRDefault="003C0CF3" w:rsidP="003C0CF3">
            <w:pPr>
              <w:jc w:val="right"/>
            </w:pPr>
            <w:r>
              <w:t xml:space="preserve">      673,027 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4B814388" w14:textId="77777777" w:rsidR="003C0CF3" w:rsidRDefault="003C0CF3" w:rsidP="003C0CF3">
            <w:pPr>
              <w:jc w:val="right"/>
            </w:pPr>
            <w:r>
              <w:t xml:space="preserve">   13,273,088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39088DD3" w14:textId="77777777" w:rsidR="003C0CF3" w:rsidRDefault="003C0CF3" w:rsidP="003C0CF3">
            <w:pPr>
              <w:jc w:val="right"/>
            </w:pPr>
            <w:r>
              <w:t xml:space="preserve">       67.21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835B431" w14:textId="77777777" w:rsidR="003C0CF3" w:rsidRDefault="003C0CF3" w:rsidP="003C0CF3">
            <w:pPr>
              <w:jc w:val="right"/>
            </w:pPr>
            <w:r>
              <w:t xml:space="preserve">      111.03 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5F4E7BCA" w14:textId="77777777" w:rsidR="003C0CF3" w:rsidRDefault="003C0CF3" w:rsidP="003C0CF3">
            <w:pPr>
              <w:jc w:val="right"/>
            </w:pPr>
            <w:r>
              <w:t xml:space="preserve"> 1,318,432 </w:t>
            </w:r>
          </w:p>
        </w:tc>
      </w:tr>
      <w:tr w:rsidR="003C0CF3" w14:paraId="01367B11" w14:textId="77777777" w:rsidTr="00771315">
        <w:trPr>
          <w:trHeight w:val="367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B796A5C" w14:textId="77777777" w:rsidR="003C0CF3" w:rsidRDefault="003C0CF3">
            <w:pPr>
              <w:jc w:val="center"/>
            </w:pPr>
            <w:r>
              <w:t>5</w:t>
            </w:r>
          </w:p>
        </w:tc>
        <w:tc>
          <w:tcPr>
            <w:tcW w:w="3489" w:type="dxa"/>
            <w:shd w:val="clear" w:color="auto" w:fill="auto"/>
            <w:vAlign w:val="bottom"/>
            <w:hideMark/>
          </w:tcPr>
          <w:p w14:paraId="2BF231DA" w14:textId="77777777" w:rsidR="003C0CF3" w:rsidRDefault="003C0CF3">
            <w:r>
              <w:t>Hoạt động khác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056F375D" w14:textId="77777777" w:rsidR="003C0CF3" w:rsidRDefault="003C0CF3" w:rsidP="003C0CF3">
            <w:pPr>
              <w:jc w:val="right"/>
            </w:pPr>
            <w:r>
              <w:t xml:space="preserve">         584,751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6ABA2FC" w14:textId="77777777" w:rsidR="003C0CF3" w:rsidRDefault="003C0CF3" w:rsidP="003C0CF3">
            <w:pPr>
              <w:jc w:val="right"/>
            </w:pPr>
            <w:r>
              <w:t xml:space="preserve">          9.26 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19859DD" w14:textId="77777777" w:rsidR="003C0CF3" w:rsidRDefault="003C0CF3" w:rsidP="003C0CF3">
            <w:pPr>
              <w:jc w:val="right"/>
            </w:pPr>
            <w:r>
              <w:t xml:space="preserve">        113.87 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CBC5597" w14:textId="77777777" w:rsidR="003C0CF3" w:rsidRDefault="003C0CF3" w:rsidP="003C0CF3">
            <w:pPr>
              <w:jc w:val="right"/>
            </w:pPr>
            <w:r>
              <w:t xml:space="preserve">        71,210 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402C67AF" w14:textId="77777777" w:rsidR="003C0CF3" w:rsidRDefault="003C0CF3" w:rsidP="003C0CF3">
            <w:pPr>
              <w:jc w:val="right"/>
            </w:pPr>
            <w:r>
              <w:t xml:space="preserve">     1,707,002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29278A6" w14:textId="77777777" w:rsidR="003C0CF3" w:rsidRDefault="003C0CF3" w:rsidP="003C0CF3">
            <w:pPr>
              <w:jc w:val="right"/>
            </w:pPr>
            <w:r>
              <w:t xml:space="preserve">         8.64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82B2423" w14:textId="77777777" w:rsidR="003C0CF3" w:rsidRDefault="003C0CF3" w:rsidP="003C0CF3">
            <w:pPr>
              <w:jc w:val="right"/>
            </w:pPr>
            <w:r>
              <w:t xml:space="preserve">      103.71 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3A163686" w14:textId="77777777" w:rsidR="003C0CF3" w:rsidRDefault="003C0CF3" w:rsidP="003C0CF3">
            <w:pPr>
              <w:jc w:val="right"/>
            </w:pPr>
            <w:r>
              <w:t xml:space="preserve">      61,063 </w:t>
            </w:r>
          </w:p>
        </w:tc>
      </w:tr>
      <w:tr w:rsidR="003C0CF3" w14:paraId="3E739638" w14:textId="77777777" w:rsidTr="00771315">
        <w:trPr>
          <w:trHeight w:val="367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21BDA20" w14:textId="77777777" w:rsidR="003C0CF3" w:rsidRDefault="003C0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218BB1C7" w14:textId="77777777" w:rsidR="003C0CF3" w:rsidRDefault="003C0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Tổng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072FEE75" w14:textId="77777777" w:rsidR="003C0CF3" w:rsidRDefault="003C0CF3" w:rsidP="003C0C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6,314,813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4DBC174" w14:textId="77777777" w:rsidR="003C0CF3" w:rsidRDefault="003C0CF3" w:rsidP="003C0C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100.00 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D995127" w14:textId="77777777" w:rsidR="003C0CF3" w:rsidRDefault="003C0CF3" w:rsidP="003C0C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117.71 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DCB0468" w14:textId="77777777" w:rsidR="003C0CF3" w:rsidRDefault="003C0CF3" w:rsidP="003C0C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949,930 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0074EF50" w14:textId="77777777" w:rsidR="003C0CF3" w:rsidRDefault="003C0CF3" w:rsidP="003C0C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19,747,533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10D8843" w14:textId="77777777" w:rsidR="003C0CF3" w:rsidRDefault="003C0CF3" w:rsidP="003C0C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100.00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F312EA9" w14:textId="77777777" w:rsidR="003C0CF3" w:rsidRDefault="003C0CF3" w:rsidP="003C0C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109.84 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14:paraId="3CD7D0D7" w14:textId="77777777" w:rsidR="003C0CF3" w:rsidRDefault="003C0CF3" w:rsidP="003C0CF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1,768,938 </w:t>
            </w:r>
          </w:p>
        </w:tc>
      </w:tr>
    </w:tbl>
    <w:p w14:paraId="755981F6" w14:textId="77777777" w:rsidR="00022251" w:rsidRDefault="00022251" w:rsidP="000530C0">
      <w:pPr>
        <w:spacing w:before="60"/>
        <w:ind w:firstLine="567"/>
        <w:jc w:val="both"/>
        <w:rPr>
          <w:b/>
          <w:iCs/>
          <w:sz w:val="28"/>
          <w:szCs w:val="28"/>
        </w:rPr>
      </w:pPr>
    </w:p>
    <w:p w14:paraId="65A14629" w14:textId="4C3FD55A" w:rsidR="002C7A07" w:rsidRPr="00771315" w:rsidRDefault="00771315" w:rsidP="00771315">
      <w:pPr>
        <w:pStyle w:val="ListParagraph"/>
        <w:numPr>
          <w:ilvl w:val="0"/>
          <w:numId w:val="3"/>
        </w:numPr>
        <w:spacing w:before="60"/>
        <w:jc w:val="both"/>
        <w:rPr>
          <w:b/>
          <w:iCs/>
          <w:sz w:val="28"/>
          <w:szCs w:val="28"/>
        </w:rPr>
      </w:pPr>
      <w:r w:rsidRPr="00771315">
        <w:rPr>
          <w:b/>
          <w:iCs/>
          <w:sz w:val="28"/>
          <w:szCs w:val="28"/>
        </w:rPr>
        <w:t xml:space="preserve">Điện thương phẩm </w:t>
      </w:r>
      <w:r w:rsidR="00EB0905" w:rsidRPr="00771315">
        <w:rPr>
          <w:b/>
          <w:iCs/>
          <w:sz w:val="28"/>
          <w:szCs w:val="28"/>
        </w:rPr>
        <w:t xml:space="preserve">các </w:t>
      </w:r>
      <w:r w:rsidRPr="00771315">
        <w:rPr>
          <w:b/>
          <w:iCs/>
          <w:sz w:val="28"/>
          <w:szCs w:val="28"/>
        </w:rPr>
        <w:t>cơ quan</w:t>
      </w:r>
      <w:r w:rsidR="002C7A07" w:rsidRPr="00771315">
        <w:rPr>
          <w:b/>
          <w:iCs/>
          <w:sz w:val="28"/>
          <w:szCs w:val="28"/>
        </w:rPr>
        <w:t xml:space="preserve"> </w:t>
      </w:r>
      <w:r w:rsidR="00536053">
        <w:rPr>
          <w:b/>
          <w:iCs/>
          <w:sz w:val="28"/>
          <w:szCs w:val="28"/>
        </w:rPr>
        <w:t>HCSN</w:t>
      </w:r>
      <w:r w:rsidR="002C7A07" w:rsidRPr="00771315">
        <w:rPr>
          <w:b/>
          <w:iCs/>
          <w:sz w:val="28"/>
          <w:szCs w:val="28"/>
        </w:rPr>
        <w:t>:</w:t>
      </w:r>
    </w:p>
    <w:p w14:paraId="4B24CD7C" w14:textId="77190080" w:rsidR="00771315" w:rsidRDefault="00771315" w:rsidP="00771315">
      <w:pPr>
        <w:spacing w:before="60"/>
        <w:ind w:left="567"/>
        <w:jc w:val="both"/>
        <w:rPr>
          <w:bCs/>
          <w:iCs/>
          <w:sz w:val="28"/>
          <w:szCs w:val="28"/>
        </w:rPr>
      </w:pPr>
      <w:r w:rsidRPr="00771315">
        <w:rPr>
          <w:bCs/>
          <w:iCs/>
          <w:sz w:val="28"/>
          <w:szCs w:val="28"/>
        </w:rPr>
        <w:t xml:space="preserve">Tổng số khách hàng là cơ quan Hành chính sự nghiệp và chiếu sáng công cộng thống kê theo dõi tiết kiệm điện trên địa bàn huyện </w:t>
      </w:r>
      <w:r>
        <w:rPr>
          <w:bCs/>
          <w:iCs/>
          <w:sz w:val="28"/>
          <w:szCs w:val="28"/>
        </w:rPr>
        <w:t>Lộc Bình</w:t>
      </w:r>
      <w:r w:rsidRPr="00771315">
        <w:rPr>
          <w:bCs/>
          <w:iCs/>
          <w:sz w:val="28"/>
          <w:szCs w:val="28"/>
        </w:rPr>
        <w:t xml:space="preserve"> là </w:t>
      </w:r>
      <w:r>
        <w:rPr>
          <w:bCs/>
          <w:iCs/>
          <w:sz w:val="28"/>
          <w:szCs w:val="28"/>
        </w:rPr>
        <w:t>58</w:t>
      </w:r>
      <w:r w:rsidRPr="00771315">
        <w:rPr>
          <w:bCs/>
          <w:iCs/>
          <w:sz w:val="28"/>
          <w:szCs w:val="28"/>
        </w:rPr>
        <w:t xml:space="preserve"> khách hàng. </w:t>
      </w:r>
    </w:p>
    <w:p w14:paraId="4073DF11" w14:textId="75C2F905" w:rsidR="00771315" w:rsidRPr="006F154D" w:rsidRDefault="00771315" w:rsidP="00771315">
      <w:pPr>
        <w:spacing w:before="120" w:after="120"/>
        <w:ind w:firstLine="567"/>
        <w:jc w:val="both"/>
        <w:rPr>
          <w:bCs/>
          <w:iCs/>
          <w:color w:val="000000"/>
          <w:sz w:val="28"/>
          <w:szCs w:val="28"/>
        </w:rPr>
      </w:pPr>
      <w:r w:rsidRPr="006F154D">
        <w:rPr>
          <w:bCs/>
          <w:iCs/>
          <w:color w:val="000000"/>
          <w:sz w:val="28"/>
          <w:szCs w:val="28"/>
        </w:rPr>
        <w:lastRenderedPageBreak/>
        <w:t xml:space="preserve">- Tổng sản lượng tiêu thụ </w:t>
      </w:r>
      <w:r>
        <w:rPr>
          <w:bCs/>
          <w:iCs/>
          <w:color w:val="000000"/>
          <w:sz w:val="28"/>
          <w:szCs w:val="28"/>
        </w:rPr>
        <w:t>tháng 3/2024</w:t>
      </w:r>
      <w:r w:rsidRPr="006F154D">
        <w:rPr>
          <w:bCs/>
          <w:iCs/>
          <w:color w:val="000000"/>
          <w:sz w:val="28"/>
          <w:szCs w:val="28"/>
        </w:rPr>
        <w:t xml:space="preserve">: </w:t>
      </w:r>
      <w:r w:rsidR="006C64FD">
        <w:rPr>
          <w:bCs/>
          <w:iCs/>
          <w:color w:val="000000"/>
          <w:sz w:val="28"/>
          <w:szCs w:val="28"/>
        </w:rPr>
        <w:t>63.176</w:t>
      </w:r>
      <w:r w:rsidRPr="006F154D">
        <w:rPr>
          <w:bCs/>
          <w:iCs/>
          <w:color w:val="000000"/>
          <w:sz w:val="28"/>
          <w:szCs w:val="28"/>
        </w:rPr>
        <w:t xml:space="preserve"> kWh;</w:t>
      </w:r>
    </w:p>
    <w:p w14:paraId="38416784" w14:textId="745DDBD5" w:rsidR="00771315" w:rsidRPr="006F154D" w:rsidRDefault="00771315" w:rsidP="00771315">
      <w:pPr>
        <w:spacing w:before="120" w:after="120"/>
        <w:ind w:firstLine="567"/>
        <w:jc w:val="both"/>
        <w:rPr>
          <w:bCs/>
          <w:iCs/>
          <w:color w:val="000000"/>
          <w:sz w:val="28"/>
          <w:szCs w:val="28"/>
        </w:rPr>
      </w:pPr>
      <w:r w:rsidRPr="006F154D">
        <w:rPr>
          <w:bCs/>
          <w:iCs/>
          <w:color w:val="000000"/>
          <w:sz w:val="28"/>
          <w:szCs w:val="28"/>
        </w:rPr>
        <w:t xml:space="preserve">- Tổng sản lượng tiêu thụ </w:t>
      </w:r>
      <w:r w:rsidR="00C12103">
        <w:rPr>
          <w:bCs/>
          <w:iCs/>
          <w:color w:val="000000"/>
          <w:sz w:val="28"/>
          <w:szCs w:val="28"/>
        </w:rPr>
        <w:t xml:space="preserve">tháng </w:t>
      </w:r>
      <w:r>
        <w:rPr>
          <w:bCs/>
          <w:iCs/>
          <w:color w:val="000000"/>
          <w:sz w:val="28"/>
          <w:szCs w:val="28"/>
        </w:rPr>
        <w:t>3/2023</w:t>
      </w:r>
      <w:r w:rsidRPr="006F154D">
        <w:rPr>
          <w:bCs/>
          <w:iCs/>
          <w:color w:val="000000"/>
          <w:sz w:val="28"/>
          <w:szCs w:val="28"/>
        </w:rPr>
        <w:t xml:space="preserve">: </w:t>
      </w:r>
      <w:r w:rsidR="006C64FD">
        <w:rPr>
          <w:bCs/>
          <w:iCs/>
          <w:color w:val="000000"/>
          <w:sz w:val="28"/>
          <w:szCs w:val="28"/>
        </w:rPr>
        <w:t>54</w:t>
      </w:r>
      <w:r w:rsidRPr="006F154D">
        <w:rPr>
          <w:bCs/>
          <w:iCs/>
          <w:color w:val="000000"/>
          <w:sz w:val="28"/>
          <w:szCs w:val="28"/>
        </w:rPr>
        <w:t>.</w:t>
      </w:r>
      <w:r w:rsidR="006C64FD">
        <w:rPr>
          <w:bCs/>
          <w:iCs/>
          <w:color w:val="000000"/>
          <w:sz w:val="28"/>
          <w:szCs w:val="28"/>
        </w:rPr>
        <w:t>08</w:t>
      </w:r>
      <w:r>
        <w:rPr>
          <w:bCs/>
          <w:iCs/>
          <w:color w:val="000000"/>
          <w:sz w:val="28"/>
          <w:szCs w:val="28"/>
        </w:rPr>
        <w:t>7</w:t>
      </w:r>
      <w:r w:rsidRPr="006F154D">
        <w:rPr>
          <w:bCs/>
          <w:iCs/>
          <w:color w:val="000000"/>
          <w:sz w:val="28"/>
          <w:szCs w:val="28"/>
        </w:rPr>
        <w:t xml:space="preserve"> kWh;</w:t>
      </w:r>
    </w:p>
    <w:p w14:paraId="402D12B6" w14:textId="1461063D" w:rsidR="00771315" w:rsidRPr="006F154D" w:rsidRDefault="00771315" w:rsidP="00771315">
      <w:pPr>
        <w:spacing w:before="120" w:after="120"/>
        <w:ind w:firstLine="567"/>
        <w:jc w:val="both"/>
        <w:rPr>
          <w:bCs/>
          <w:iCs/>
          <w:color w:val="000000"/>
          <w:sz w:val="28"/>
          <w:szCs w:val="28"/>
        </w:rPr>
      </w:pPr>
      <w:r w:rsidRPr="006F154D">
        <w:rPr>
          <w:bCs/>
          <w:iCs/>
          <w:color w:val="000000"/>
          <w:sz w:val="28"/>
          <w:szCs w:val="28"/>
        </w:rPr>
        <w:t xml:space="preserve">- So sánh </w:t>
      </w:r>
      <w:r>
        <w:rPr>
          <w:bCs/>
          <w:iCs/>
          <w:color w:val="000000"/>
          <w:sz w:val="28"/>
          <w:szCs w:val="28"/>
        </w:rPr>
        <w:t>cùng kỳ</w:t>
      </w:r>
      <w:r w:rsidRPr="006F154D">
        <w:rPr>
          <w:bCs/>
          <w:iCs/>
          <w:color w:val="000000"/>
          <w:sz w:val="28"/>
          <w:szCs w:val="28"/>
        </w:rPr>
        <w:t xml:space="preserve">: </w:t>
      </w:r>
      <w:r>
        <w:rPr>
          <w:bCs/>
          <w:iCs/>
          <w:color w:val="000000"/>
          <w:sz w:val="28"/>
          <w:szCs w:val="28"/>
        </w:rPr>
        <w:t xml:space="preserve">Tăng </w:t>
      </w:r>
      <w:r w:rsidR="006C64FD">
        <w:rPr>
          <w:bCs/>
          <w:iCs/>
          <w:color w:val="000000"/>
          <w:sz w:val="28"/>
          <w:szCs w:val="28"/>
        </w:rPr>
        <w:t>9</w:t>
      </w:r>
      <w:r>
        <w:rPr>
          <w:bCs/>
          <w:iCs/>
          <w:color w:val="000000"/>
          <w:sz w:val="28"/>
          <w:szCs w:val="28"/>
        </w:rPr>
        <w:t>.</w:t>
      </w:r>
      <w:r w:rsidR="006C64FD">
        <w:rPr>
          <w:bCs/>
          <w:iCs/>
          <w:color w:val="000000"/>
          <w:sz w:val="28"/>
          <w:szCs w:val="28"/>
        </w:rPr>
        <w:t>629</w:t>
      </w:r>
      <w:r w:rsidRPr="006F154D">
        <w:rPr>
          <w:bCs/>
          <w:iCs/>
          <w:color w:val="000000"/>
          <w:sz w:val="28"/>
          <w:szCs w:val="28"/>
        </w:rPr>
        <w:t xml:space="preserve"> kWh, tương ứng </w:t>
      </w:r>
      <w:r>
        <w:rPr>
          <w:bCs/>
          <w:iCs/>
          <w:color w:val="000000"/>
          <w:sz w:val="28"/>
          <w:szCs w:val="28"/>
        </w:rPr>
        <w:t>tăng</w:t>
      </w:r>
      <w:r w:rsidRPr="006F154D">
        <w:rPr>
          <w:bCs/>
          <w:iCs/>
          <w:color w:val="000000"/>
          <w:sz w:val="28"/>
          <w:szCs w:val="28"/>
        </w:rPr>
        <w:t xml:space="preserve"> </w:t>
      </w:r>
      <w:r w:rsidR="006C64FD">
        <w:rPr>
          <w:bCs/>
          <w:iCs/>
          <w:color w:val="000000"/>
          <w:sz w:val="28"/>
          <w:szCs w:val="28"/>
        </w:rPr>
        <w:t>17</w:t>
      </w:r>
      <w:r w:rsidRPr="006F154D">
        <w:rPr>
          <w:bCs/>
          <w:iCs/>
          <w:color w:val="000000"/>
          <w:sz w:val="28"/>
          <w:szCs w:val="28"/>
        </w:rPr>
        <w:t>,</w:t>
      </w:r>
      <w:r w:rsidR="006C64FD">
        <w:rPr>
          <w:bCs/>
          <w:iCs/>
          <w:color w:val="000000"/>
          <w:sz w:val="28"/>
          <w:szCs w:val="28"/>
        </w:rPr>
        <w:t>8</w:t>
      </w:r>
      <w:r w:rsidRPr="006F154D">
        <w:rPr>
          <w:bCs/>
          <w:iCs/>
          <w:color w:val="000000"/>
          <w:sz w:val="28"/>
          <w:szCs w:val="28"/>
        </w:rPr>
        <w:t>%</w:t>
      </w:r>
    </w:p>
    <w:p w14:paraId="1C33AF34" w14:textId="0A35B8DA" w:rsidR="00771315" w:rsidRDefault="00771315" w:rsidP="00771315">
      <w:pPr>
        <w:spacing w:before="6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Trong đó có 44 đơn vị có sản lượng tăng và 14 đơn vị có sản lượng giảm, chi tiết theo phụ lục.</w:t>
      </w:r>
    </w:p>
    <w:p w14:paraId="27CCF00B" w14:textId="135E557E" w:rsidR="00771315" w:rsidRPr="00771315" w:rsidRDefault="00771315" w:rsidP="00771315">
      <w:pPr>
        <w:spacing w:before="60"/>
        <w:ind w:firstLine="567"/>
        <w:jc w:val="center"/>
        <w:rPr>
          <w:b/>
          <w:iCs/>
          <w:sz w:val="28"/>
          <w:szCs w:val="28"/>
        </w:rPr>
      </w:pPr>
      <w:r w:rsidRPr="00771315">
        <w:rPr>
          <w:b/>
          <w:iCs/>
          <w:sz w:val="28"/>
          <w:szCs w:val="28"/>
        </w:rPr>
        <w:t xml:space="preserve">Chi tiết sử dụng điện của các cơ quan </w:t>
      </w:r>
      <w:r w:rsidR="00536053">
        <w:rPr>
          <w:b/>
          <w:iCs/>
          <w:sz w:val="28"/>
          <w:szCs w:val="28"/>
        </w:rPr>
        <w:t>HCSN</w:t>
      </w:r>
      <w:r w:rsidR="007A5792">
        <w:rPr>
          <w:b/>
          <w:iCs/>
          <w:sz w:val="28"/>
          <w:szCs w:val="28"/>
        </w:rPr>
        <w:t xml:space="preserve"> </w:t>
      </w:r>
      <w:r w:rsidRPr="00771315">
        <w:rPr>
          <w:b/>
          <w:iCs/>
          <w:sz w:val="28"/>
          <w:szCs w:val="28"/>
        </w:rPr>
        <w:t>trên địa bàn Huyện</w:t>
      </w:r>
    </w:p>
    <w:p w14:paraId="55B47146" w14:textId="77777777" w:rsidR="00022251" w:rsidRDefault="00022251" w:rsidP="000530C0">
      <w:pPr>
        <w:spacing w:before="60"/>
        <w:ind w:firstLine="567"/>
        <w:jc w:val="both"/>
        <w:rPr>
          <w:b/>
          <w:iCs/>
          <w:sz w:val="28"/>
          <w:szCs w:val="28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765"/>
        <w:gridCol w:w="4759"/>
        <w:gridCol w:w="4536"/>
        <w:gridCol w:w="1134"/>
        <w:gridCol w:w="1134"/>
        <w:gridCol w:w="1134"/>
        <w:gridCol w:w="1134"/>
      </w:tblGrid>
      <w:tr w:rsidR="00BE638B" w14:paraId="26390765" w14:textId="77777777" w:rsidTr="00536053">
        <w:trPr>
          <w:trHeight w:val="31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15A3" w14:textId="77777777" w:rsidR="00BE638B" w:rsidRDefault="00BE63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Stt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F5EB" w14:textId="77777777" w:rsidR="00BE638B" w:rsidRDefault="00BE63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Tên cơ quan/đơn vị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FAD5" w14:textId="77777777" w:rsidR="00BE638B" w:rsidRDefault="00BE63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Địa chỉ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BA3" w14:textId="77777777" w:rsidR="00BE638B" w:rsidRDefault="00BE6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Sản lượng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2A963" w14:textId="77777777" w:rsidR="00BE638B" w:rsidRDefault="00BE6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 sánh</w:t>
            </w:r>
          </w:p>
        </w:tc>
      </w:tr>
      <w:tr w:rsidR="00BE638B" w14:paraId="3A222D22" w14:textId="77777777" w:rsidTr="00536053">
        <w:trPr>
          <w:trHeight w:val="94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D6BA7" w14:textId="77777777" w:rsidR="00BE638B" w:rsidRDefault="00BE638B">
            <w:pPr>
              <w:rPr>
                <w:b/>
                <w:bCs/>
                <w:color w:val="000000"/>
              </w:rPr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7EE2F" w14:textId="77777777" w:rsidR="00BE638B" w:rsidRDefault="00BE638B">
            <w:pPr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97F7B" w14:textId="77777777" w:rsidR="00BE638B" w:rsidRDefault="00BE638B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55A4" w14:textId="77777777" w:rsidR="00BE638B" w:rsidRDefault="00BE6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Tháng 03/2024 (kWh)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6B1D" w14:textId="77777777" w:rsidR="00BE638B" w:rsidRDefault="00BE6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Tháng 03/2023 (kWh)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1F2A" w14:textId="77777777" w:rsidR="00BE638B" w:rsidRDefault="00BE6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Sản lượng (kWh)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49C1" w14:textId="77777777" w:rsidR="00BE638B" w:rsidRDefault="00BE63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Tỷ lệ (%) </w:t>
            </w:r>
          </w:p>
        </w:tc>
      </w:tr>
      <w:tr w:rsidR="00BE638B" w14:paraId="27408458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37C9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E9F9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Phòng Thanh tra huyện 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A1AA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Khu Bản Kho, Thị trấn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D70A" w14:textId="77777777" w:rsidR="00BE638B" w:rsidRDefault="00BE638B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8422" w14:textId="77777777" w:rsidR="00BE638B" w:rsidRDefault="00BE638B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DC9A" w14:textId="77777777" w:rsidR="00BE638B" w:rsidRDefault="00BE638B">
            <w:pPr>
              <w:jc w:val="right"/>
            </w:pPr>
            <w: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C808" w14:textId="77777777" w:rsidR="00BE638B" w:rsidRDefault="00BE638B">
            <w:pPr>
              <w:jc w:val="right"/>
            </w:pPr>
            <w:r>
              <w:t xml:space="preserve">569.23 </w:t>
            </w:r>
          </w:p>
        </w:tc>
      </w:tr>
      <w:tr w:rsidR="00BE638B" w14:paraId="7B9EFA0D" w14:textId="77777777" w:rsidTr="00536053">
        <w:trPr>
          <w:trHeight w:val="6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E89A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4479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Phòng Lao động, thương binh xã hội - Dân tộc H.Lộc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986B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Khu Bản Kho,  Thị trấn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1F21" w14:textId="77777777" w:rsidR="00BE638B" w:rsidRDefault="00BE638B">
            <w:pPr>
              <w:jc w:val="right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2229" w14:textId="77777777" w:rsidR="00BE638B" w:rsidRDefault="00BE638B">
            <w:pPr>
              <w:jc w:val="right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4B53" w14:textId="77777777" w:rsidR="00BE638B" w:rsidRDefault="00BE638B">
            <w:pPr>
              <w:jc w:val="right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6D1F" w14:textId="77777777" w:rsidR="00BE638B" w:rsidRDefault="00BE638B">
            <w:pPr>
              <w:jc w:val="right"/>
            </w:pPr>
            <w:r>
              <w:t xml:space="preserve">283.33 </w:t>
            </w:r>
          </w:p>
        </w:tc>
      </w:tr>
      <w:tr w:rsidR="00BE638B" w14:paraId="4555F847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C2FB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CD36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Uỷ ban nhân dân Xã Nam quan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42AB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Thôn Khòn Mùm, Xã Nam Quan,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80DA" w14:textId="77777777" w:rsidR="00BE638B" w:rsidRDefault="00BE638B">
            <w:pPr>
              <w:jc w:val="right"/>
            </w:pPr>
            <w: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DFDF" w14:textId="77777777" w:rsidR="00BE638B" w:rsidRDefault="00BE638B">
            <w:pPr>
              <w:jc w:val="right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3C15" w14:textId="77777777" w:rsidR="00BE638B" w:rsidRDefault="00BE638B">
            <w:pPr>
              <w:jc w:val="right"/>
            </w:pPr>
            <w: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FC2B" w14:textId="77777777" w:rsidR="00BE638B" w:rsidRDefault="00BE638B">
            <w:pPr>
              <w:jc w:val="right"/>
            </w:pPr>
            <w:r>
              <w:t xml:space="preserve">210.00 </w:t>
            </w:r>
          </w:p>
        </w:tc>
      </w:tr>
      <w:tr w:rsidR="00BE638B" w14:paraId="29724E6A" w14:textId="77777777" w:rsidTr="00536053">
        <w:trPr>
          <w:trHeight w:val="6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A2F9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2E280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Trung tâm Thông tin xúc tiến du lịch Lạng Sơn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439B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Khán đài A sân vận động Đông Kinh, Bà Triệu, P. Vĩnh Trại, TP Lạng Sơn, Lạng Sơn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7BDB" w14:textId="77777777" w:rsidR="00BE638B" w:rsidRDefault="00BE638B">
            <w:pPr>
              <w:jc w:val="right"/>
            </w:pPr>
            <w: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65C9" w14:textId="77777777" w:rsidR="00BE638B" w:rsidRDefault="00BE638B">
            <w:pPr>
              <w:jc w:val="right"/>
            </w:pPr>
            <w: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B913" w14:textId="77777777" w:rsidR="00BE638B" w:rsidRDefault="00BE638B">
            <w:pPr>
              <w:jc w:val="right"/>
            </w:pPr>
            <w: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B457" w14:textId="77777777" w:rsidR="00BE638B" w:rsidRDefault="00BE638B">
            <w:pPr>
              <w:jc w:val="right"/>
            </w:pPr>
            <w:r>
              <w:t xml:space="preserve">203.70 </w:t>
            </w:r>
          </w:p>
        </w:tc>
      </w:tr>
      <w:tr w:rsidR="00BE638B" w14:paraId="69991E0F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0610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4736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Phòng Văn hóa và thông tin huyện 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D3AF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Số 81, khu Bản Kho, Thị trấn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BE16" w14:textId="77777777" w:rsidR="00BE638B" w:rsidRDefault="00BE638B">
            <w:pPr>
              <w:jc w:val="right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1FD7" w14:textId="77777777" w:rsidR="00BE638B" w:rsidRDefault="00BE638B">
            <w:pPr>
              <w:jc w:val="right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70BE" w14:textId="77777777" w:rsidR="00BE638B" w:rsidRDefault="00BE638B">
            <w:pPr>
              <w:jc w:val="right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09C2" w14:textId="77777777" w:rsidR="00BE638B" w:rsidRDefault="00BE638B">
            <w:pPr>
              <w:jc w:val="right"/>
            </w:pPr>
            <w:r>
              <w:t xml:space="preserve">150.00 </w:t>
            </w:r>
          </w:p>
        </w:tc>
      </w:tr>
      <w:tr w:rsidR="00BE638B" w14:paraId="17E56E54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0356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C493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THI HÀNH ÁN DÂN SỰ HUYỆN 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F612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Khu Hòa Bình, TT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F2FF" w14:textId="77777777" w:rsidR="00BE638B" w:rsidRDefault="00BE638B">
            <w:pPr>
              <w:jc w:val="right"/>
            </w:pPr>
            <w: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EE0B" w14:textId="77777777" w:rsidR="00BE638B" w:rsidRDefault="00BE638B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C177" w14:textId="77777777" w:rsidR="00BE638B" w:rsidRDefault="00BE638B">
            <w:pPr>
              <w:jc w:val="right"/>
            </w:pPr>
            <w: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9ED1" w14:textId="77777777" w:rsidR="00BE638B" w:rsidRDefault="00BE638B">
            <w:pPr>
              <w:jc w:val="right"/>
            </w:pPr>
            <w:r>
              <w:t xml:space="preserve">137.12 </w:t>
            </w:r>
          </w:p>
        </w:tc>
      </w:tr>
      <w:tr w:rsidR="00BE638B" w14:paraId="148911B0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3B0C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0D7A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Ủy Ban nhân dân  Xã Minh Hiệp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0485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Thôn Khuôn Săm, Xã Minh Hiệp,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3E41" w14:textId="77777777" w:rsidR="00BE638B" w:rsidRDefault="00BE638B">
            <w:pPr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1895" w14:textId="77777777" w:rsidR="00BE638B" w:rsidRDefault="00BE638B">
            <w:pPr>
              <w:jc w:val="right"/>
            </w:pPr>
            <w: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E537" w14:textId="77777777" w:rsidR="00BE638B" w:rsidRDefault="00BE638B">
            <w:pPr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6E0F" w14:textId="77777777" w:rsidR="00BE638B" w:rsidRDefault="00BE638B">
            <w:pPr>
              <w:jc w:val="right"/>
            </w:pPr>
            <w:r>
              <w:t xml:space="preserve">79.95 </w:t>
            </w:r>
          </w:p>
        </w:tc>
      </w:tr>
      <w:tr w:rsidR="00BE638B" w14:paraId="4F7A8B7E" w14:textId="77777777" w:rsidTr="00536053">
        <w:trPr>
          <w:trHeight w:val="6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576A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6C7A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Chi Cục thống kê khu vực Lộc Bình - Đình Lập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5E89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Khu Bản Kho,  Thị trấn Lộc Bình, huyện Lộc Bình, tỉnh Lạng Sơn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7BEB" w14:textId="77777777" w:rsidR="00BE638B" w:rsidRDefault="00BE638B">
            <w:pPr>
              <w:jc w:val="right"/>
            </w:pPr>
            <w: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185" w14:textId="77777777" w:rsidR="00BE638B" w:rsidRDefault="00BE638B">
            <w:pPr>
              <w:jc w:val="right"/>
            </w:pPr>
            <w: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AB6A" w14:textId="77777777" w:rsidR="00BE638B" w:rsidRDefault="00BE638B">
            <w:pPr>
              <w:jc w:val="right"/>
            </w:pPr>
            <w: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E204" w14:textId="77777777" w:rsidR="00BE638B" w:rsidRDefault="00BE638B">
            <w:pPr>
              <w:jc w:val="right"/>
            </w:pPr>
            <w:r>
              <w:t xml:space="preserve">76.12 </w:t>
            </w:r>
          </w:p>
        </w:tc>
      </w:tr>
      <w:tr w:rsidR="00BE638B" w14:paraId="3CB25D72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4B06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EE63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Hạt Kiểm Lâm 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1133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Khu Bản Kho - TT Lộc Bình - H.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A513" w14:textId="77777777" w:rsidR="00BE638B" w:rsidRDefault="00BE638B">
            <w:pPr>
              <w:jc w:val="right"/>
            </w:pPr>
            <w: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91AF" w14:textId="77777777" w:rsidR="00BE638B" w:rsidRDefault="00BE638B">
            <w:pPr>
              <w:jc w:val="right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C0DD" w14:textId="77777777" w:rsidR="00BE638B" w:rsidRDefault="00BE638B">
            <w:pPr>
              <w:jc w:val="right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B367" w14:textId="77777777" w:rsidR="00BE638B" w:rsidRDefault="00BE638B">
            <w:pPr>
              <w:jc w:val="right"/>
            </w:pPr>
            <w:r>
              <w:t xml:space="preserve">74.56 </w:t>
            </w:r>
          </w:p>
        </w:tc>
      </w:tr>
      <w:tr w:rsidR="00BE638B" w14:paraId="32B6EA5A" w14:textId="77777777" w:rsidTr="00536053">
        <w:trPr>
          <w:trHeight w:val="6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AEE4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1774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Huyện Đoàn 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8093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Khu Bản Kho, TT Lộc Bình, huyện Lộc Bình, tỉnh Lạng Sơn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7386" w14:textId="77777777" w:rsidR="00BE638B" w:rsidRDefault="00BE638B">
            <w:pPr>
              <w:jc w:val="right"/>
            </w:pPr>
            <w: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B9A5" w14:textId="77777777" w:rsidR="00BE638B" w:rsidRDefault="00BE638B">
            <w:pPr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99E0" w14:textId="77777777" w:rsidR="00BE638B" w:rsidRDefault="00BE638B">
            <w:pPr>
              <w:jc w:val="right"/>
            </w:pPr>
            <w: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034A" w14:textId="77777777" w:rsidR="00BE638B" w:rsidRDefault="00BE638B">
            <w:pPr>
              <w:jc w:val="right"/>
            </w:pPr>
            <w:r>
              <w:t xml:space="preserve">69.42 </w:t>
            </w:r>
          </w:p>
        </w:tc>
      </w:tr>
      <w:tr w:rsidR="00BE638B" w14:paraId="09BBD707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4893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0CFD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Ủy ban nhân dân xã Khuất Xá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1ABA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Thôn Bản Chu, Xã Khuất Xá,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4317" w14:textId="77777777" w:rsidR="00BE638B" w:rsidRDefault="00BE638B">
            <w:pPr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83F4" w14:textId="77777777" w:rsidR="00BE638B" w:rsidRDefault="00BE638B">
            <w:pPr>
              <w:jc w:val="right"/>
            </w:pPr>
            <w: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DCC4" w14:textId="77777777" w:rsidR="00BE638B" w:rsidRDefault="00BE638B">
            <w:pPr>
              <w:jc w:val="right"/>
            </w:pPr>
            <w: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1CBB" w14:textId="77777777" w:rsidR="00BE638B" w:rsidRDefault="00BE638B">
            <w:pPr>
              <w:jc w:val="right"/>
            </w:pPr>
            <w:r>
              <w:t xml:space="preserve">67.32 </w:t>
            </w:r>
          </w:p>
        </w:tc>
      </w:tr>
      <w:tr w:rsidR="00BE638B" w14:paraId="26281E0F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D7A7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C64F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Trung Tâm phát triển quỹ đất huyện 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97B8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Khu Nhà Thờ Huyện Lộc Bình- Tỉnh Lạng Sơn.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5192" w14:textId="77777777" w:rsidR="00BE638B" w:rsidRDefault="00BE638B">
            <w:pPr>
              <w:jc w:val="right"/>
            </w:pPr>
            <w:r>
              <w:t>1305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452D" w14:textId="77777777" w:rsidR="00BE638B" w:rsidRDefault="00BE638B">
            <w:pPr>
              <w:jc w:val="right"/>
            </w:pPr>
            <w: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A1FE" w14:textId="77777777" w:rsidR="00BE638B" w:rsidRDefault="00BE638B">
            <w:pPr>
              <w:jc w:val="right"/>
            </w:pPr>
            <w: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7486" w14:textId="77777777" w:rsidR="00BE638B" w:rsidRDefault="00BE638B">
            <w:pPr>
              <w:jc w:val="right"/>
            </w:pPr>
            <w:r>
              <w:t xml:space="preserve">60.91 </w:t>
            </w:r>
          </w:p>
        </w:tc>
      </w:tr>
      <w:tr w:rsidR="00BE638B" w14:paraId="26AD6B9B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F612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FB77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Ban chỉ huy quân sự huyện 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BF7F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Khu Lao Động, TT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5EF9" w14:textId="77777777" w:rsidR="00BE638B" w:rsidRDefault="00BE638B">
            <w:pPr>
              <w:jc w:val="right"/>
            </w:pPr>
            <w:r>
              <w:t>4591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6F9D" w14:textId="77777777" w:rsidR="00BE638B" w:rsidRDefault="00BE638B">
            <w:pPr>
              <w:jc w:val="right"/>
            </w:pPr>
            <w:r>
              <w:t>3028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CF4D" w14:textId="77777777" w:rsidR="00BE638B" w:rsidRDefault="00BE638B">
            <w:pPr>
              <w:jc w:val="right"/>
            </w:pPr>
            <w:r>
              <w:t>1563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7ACB" w14:textId="77777777" w:rsidR="00BE638B" w:rsidRDefault="00BE638B">
            <w:pPr>
              <w:jc w:val="right"/>
            </w:pPr>
            <w:r>
              <w:t xml:space="preserve">51.62 </w:t>
            </w:r>
          </w:p>
        </w:tc>
      </w:tr>
      <w:tr w:rsidR="00BE638B" w14:paraId="3940BE6F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D314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81D5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Ủy ban nhân dân xã Tĩnh Bắc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7A82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Thôn Bó Luồng, Xã Tĩnh Bắc,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948F" w14:textId="77777777" w:rsidR="00BE638B" w:rsidRDefault="00BE638B">
            <w:pPr>
              <w:jc w:val="right"/>
            </w:pPr>
            <w:r>
              <w:t>1469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08CB" w14:textId="77777777" w:rsidR="00BE638B" w:rsidRDefault="00BE638B">
            <w:pPr>
              <w:jc w:val="right"/>
            </w:pPr>
            <w: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1B3B" w14:textId="77777777" w:rsidR="00BE638B" w:rsidRDefault="00BE638B">
            <w:pPr>
              <w:jc w:val="right"/>
            </w:pPr>
            <w: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64D9" w14:textId="77777777" w:rsidR="00BE638B" w:rsidRDefault="00BE638B">
            <w:pPr>
              <w:jc w:val="right"/>
            </w:pPr>
            <w:r>
              <w:t xml:space="preserve">50.51 </w:t>
            </w:r>
          </w:p>
        </w:tc>
      </w:tr>
      <w:tr w:rsidR="00BE638B" w14:paraId="694130DA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8DDB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C2C1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Ủy Ban Nhân Dân Xã Đông Quan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48CB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Thôn Thồng Niểng, Xã Đông Quan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760D" w14:textId="77777777" w:rsidR="00BE638B" w:rsidRDefault="00BE638B">
            <w:pPr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B68C" w14:textId="77777777" w:rsidR="00BE638B" w:rsidRDefault="00BE638B">
            <w:pPr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134B" w14:textId="77777777" w:rsidR="00BE638B" w:rsidRDefault="00BE638B">
            <w:pPr>
              <w:jc w:val="right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F671" w14:textId="77777777" w:rsidR="00BE638B" w:rsidRDefault="00BE638B">
            <w:pPr>
              <w:jc w:val="right"/>
            </w:pPr>
            <w:r>
              <w:t xml:space="preserve">41.45 </w:t>
            </w:r>
          </w:p>
        </w:tc>
      </w:tr>
      <w:tr w:rsidR="00BE638B" w14:paraId="625BFCED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194E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6D59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Đội CSGT-TT-CĐ- Công an huyện 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C906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Khu Hòa Bình, Thị trấn Lộc Bình, Lộc Bình, Lạng Sơn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AEEA" w14:textId="77777777" w:rsidR="00BE638B" w:rsidRDefault="00BE638B">
            <w:pPr>
              <w:jc w:val="right"/>
            </w:pPr>
            <w:r>
              <w:t>2561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28A4" w14:textId="77777777" w:rsidR="00BE638B" w:rsidRDefault="00BE638B">
            <w:pPr>
              <w:jc w:val="right"/>
            </w:pPr>
            <w:r>
              <w:t>1819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E90E" w14:textId="77777777" w:rsidR="00BE638B" w:rsidRDefault="00BE638B">
            <w:pPr>
              <w:jc w:val="right"/>
            </w:pPr>
            <w: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90E3" w14:textId="77777777" w:rsidR="00BE638B" w:rsidRDefault="00BE638B">
            <w:pPr>
              <w:jc w:val="right"/>
            </w:pPr>
            <w:r>
              <w:t xml:space="preserve">40.79 </w:t>
            </w:r>
          </w:p>
        </w:tc>
      </w:tr>
      <w:tr w:rsidR="00BE638B" w14:paraId="75DCAC85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ED3B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E82B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Chi cục Thuế khu vực 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9DA7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Khu Bản Kho - TT Lộc Bình - H.Lộc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D5F4" w14:textId="77777777" w:rsidR="00BE638B" w:rsidRDefault="00BE638B">
            <w:pPr>
              <w:jc w:val="right"/>
            </w:pPr>
            <w:r>
              <w:t>3720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B3A7" w14:textId="77777777" w:rsidR="00BE638B" w:rsidRDefault="00BE638B">
            <w:pPr>
              <w:jc w:val="right"/>
            </w:pPr>
            <w:r>
              <w:t>2753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E87C" w14:textId="77777777" w:rsidR="00BE638B" w:rsidRDefault="00BE638B">
            <w:pPr>
              <w:jc w:val="right"/>
            </w:pPr>
            <w: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9637" w14:textId="77777777" w:rsidR="00BE638B" w:rsidRDefault="00BE638B">
            <w:pPr>
              <w:jc w:val="right"/>
            </w:pPr>
            <w:r>
              <w:t xml:space="preserve">35.13 </w:t>
            </w:r>
          </w:p>
        </w:tc>
      </w:tr>
      <w:tr w:rsidR="00BE638B" w14:paraId="0138EA65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63C7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8DB4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UBND xã Đồng Bục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0603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Thôn Lăng Xè, Xã Đồng Bục,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6FD7" w14:textId="77777777" w:rsidR="00BE638B" w:rsidRDefault="00BE638B">
            <w:pPr>
              <w:jc w:val="right"/>
            </w:pPr>
            <w:r>
              <w:t>1385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6146" w14:textId="77777777" w:rsidR="00BE638B" w:rsidRDefault="00BE638B">
            <w:pPr>
              <w:jc w:val="right"/>
            </w:pPr>
            <w:r>
              <w:t>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8FEC" w14:textId="77777777" w:rsidR="00BE638B" w:rsidRDefault="00BE638B">
            <w:pPr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343D" w14:textId="77777777" w:rsidR="00BE638B" w:rsidRDefault="00BE638B">
            <w:pPr>
              <w:jc w:val="right"/>
            </w:pPr>
            <w:r>
              <w:t xml:space="preserve">34.47 </w:t>
            </w:r>
          </w:p>
        </w:tc>
      </w:tr>
      <w:tr w:rsidR="00BE638B" w14:paraId="420FF248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DD2F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52A2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Huyện Uỷ Lộc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C7EE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Khu Hòa Bình, TT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95FB" w14:textId="77777777" w:rsidR="00BE638B" w:rsidRDefault="00BE638B">
            <w:pPr>
              <w:jc w:val="right"/>
            </w:pPr>
            <w:r>
              <w:t>4680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9194" w14:textId="77777777" w:rsidR="00BE638B" w:rsidRDefault="00BE638B">
            <w:pPr>
              <w:jc w:val="right"/>
            </w:pPr>
            <w:r>
              <w:t>3520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BAF9" w14:textId="77777777" w:rsidR="00BE638B" w:rsidRDefault="00BE638B">
            <w:pPr>
              <w:jc w:val="right"/>
            </w:pPr>
            <w:r>
              <w:t>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C4FD" w14:textId="77777777" w:rsidR="00BE638B" w:rsidRDefault="00BE638B">
            <w:pPr>
              <w:jc w:val="right"/>
            </w:pPr>
            <w:r>
              <w:t xml:space="preserve">32.95 </w:t>
            </w:r>
          </w:p>
        </w:tc>
      </w:tr>
      <w:tr w:rsidR="00BE638B" w14:paraId="50A876D3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7BDC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A09C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UBND xã Sàn Viên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338C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Thôn Khòn Sè, Xã Sàn Viên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6882" w14:textId="77777777" w:rsidR="00BE638B" w:rsidRDefault="00BE638B">
            <w:pPr>
              <w:jc w:val="right"/>
            </w:pPr>
            <w: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3D96" w14:textId="77777777" w:rsidR="00BE638B" w:rsidRDefault="00BE638B">
            <w:pPr>
              <w:jc w:val="right"/>
            </w:pPr>
            <w: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6ECC" w14:textId="77777777" w:rsidR="00BE638B" w:rsidRDefault="00BE638B">
            <w:pPr>
              <w:jc w:val="right"/>
            </w:pPr>
            <w: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50A3" w14:textId="77777777" w:rsidR="00BE638B" w:rsidRDefault="00BE638B">
            <w:pPr>
              <w:jc w:val="right"/>
            </w:pPr>
            <w:r>
              <w:t xml:space="preserve">30.34 </w:t>
            </w:r>
          </w:p>
        </w:tc>
      </w:tr>
      <w:tr w:rsidR="00BE638B" w14:paraId="3A6E0553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4EFF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7E61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Ủy ban nhân dân Xã Thống Nhất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1EBD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Thôn Khòn Nà, Xã Thống Nhất,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07C8" w14:textId="77777777" w:rsidR="00BE638B" w:rsidRDefault="00BE638B">
            <w:pPr>
              <w:jc w:val="right"/>
            </w:pPr>
            <w:r>
              <w:t>1359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7CAA" w14:textId="77777777" w:rsidR="00BE638B" w:rsidRDefault="00BE638B">
            <w:pPr>
              <w:jc w:val="right"/>
            </w:pPr>
            <w:r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6D15" w14:textId="77777777" w:rsidR="00BE638B" w:rsidRDefault="00BE638B">
            <w:pPr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AAF9" w14:textId="77777777" w:rsidR="00BE638B" w:rsidRDefault="00BE638B">
            <w:pPr>
              <w:jc w:val="right"/>
            </w:pPr>
            <w:r>
              <w:t xml:space="preserve">29.80 </w:t>
            </w:r>
          </w:p>
        </w:tc>
      </w:tr>
      <w:tr w:rsidR="00BE638B" w14:paraId="5B3BFD9E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062A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37E7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Uỷ Ban nhân dân Xã Hữu Lân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946B2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Thôn Vinh Tiên, Xã Hữu Lân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1A32" w14:textId="77777777" w:rsidR="00BE638B" w:rsidRDefault="00BE638B">
            <w:pPr>
              <w:jc w:val="right"/>
            </w:pPr>
            <w:r>
              <w:t>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A97D" w14:textId="77777777" w:rsidR="00BE638B" w:rsidRDefault="00BE638B">
            <w:pPr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D229" w14:textId="77777777" w:rsidR="00BE638B" w:rsidRDefault="00BE638B">
            <w:pPr>
              <w:jc w:val="right"/>
            </w:pPr>
            <w: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601C" w14:textId="77777777" w:rsidR="00BE638B" w:rsidRDefault="00BE638B">
            <w:pPr>
              <w:jc w:val="right"/>
            </w:pPr>
            <w:r>
              <w:t xml:space="preserve">29.77 </w:t>
            </w:r>
          </w:p>
        </w:tc>
      </w:tr>
      <w:tr w:rsidR="00BE638B" w14:paraId="252EACCD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825F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468A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Ban quản lý dự ánđầu tư xây dựng 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1CF50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Khu Hòa Bình, Thị trấn Lộc Bình,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E5DD" w14:textId="77777777" w:rsidR="00BE638B" w:rsidRDefault="00BE638B">
            <w:pPr>
              <w:jc w:val="right"/>
            </w:pPr>
            <w:r>
              <w:t>1264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12CB" w14:textId="77777777" w:rsidR="00BE638B" w:rsidRDefault="00BE638B">
            <w:pPr>
              <w:jc w:val="right"/>
            </w:pPr>
            <w: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E8D6" w14:textId="77777777" w:rsidR="00BE638B" w:rsidRDefault="00BE638B">
            <w:pPr>
              <w:jc w:val="right"/>
            </w:pPr>
            <w: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3395" w14:textId="77777777" w:rsidR="00BE638B" w:rsidRDefault="00BE638B">
            <w:pPr>
              <w:jc w:val="right"/>
            </w:pPr>
            <w:r>
              <w:t xml:space="preserve">28.46 </w:t>
            </w:r>
          </w:p>
        </w:tc>
      </w:tr>
      <w:tr w:rsidR="00BE638B" w14:paraId="55B32413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0DDE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A582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Đội Qlý thị trường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5E57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Khu Bờ Sông, Thị trấn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2205" w14:textId="77777777" w:rsidR="00BE638B" w:rsidRDefault="00BE638B">
            <w:pPr>
              <w:jc w:val="right"/>
            </w:pPr>
            <w: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01BE" w14:textId="77777777" w:rsidR="00BE638B" w:rsidRDefault="00BE638B">
            <w:pPr>
              <w:jc w:val="right"/>
            </w:pPr>
            <w: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D63" w14:textId="77777777" w:rsidR="00BE638B" w:rsidRDefault="00BE638B">
            <w:pPr>
              <w:jc w:val="right"/>
            </w:pPr>
            <w: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A73B" w14:textId="77777777" w:rsidR="00BE638B" w:rsidRDefault="00BE638B">
            <w:pPr>
              <w:jc w:val="right"/>
            </w:pPr>
            <w:r>
              <w:t xml:space="preserve">27.49 </w:t>
            </w:r>
          </w:p>
        </w:tc>
      </w:tr>
      <w:tr w:rsidR="00BE638B" w14:paraId="558CE199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DC19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7F4E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Toà án nhân dân huyện 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B8D1B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Khu Hòa Bình, TT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205E" w14:textId="77777777" w:rsidR="00BE638B" w:rsidRDefault="00BE638B">
            <w:pPr>
              <w:jc w:val="right"/>
            </w:pPr>
            <w: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B500" w14:textId="77777777" w:rsidR="00BE638B" w:rsidRDefault="00BE638B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AEC5" w14:textId="77777777" w:rsidR="00BE638B" w:rsidRDefault="00BE638B">
            <w:pPr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9960" w14:textId="77777777" w:rsidR="00BE638B" w:rsidRDefault="00BE638B">
            <w:pPr>
              <w:jc w:val="right"/>
            </w:pPr>
            <w:r>
              <w:t xml:space="preserve">25.48 </w:t>
            </w:r>
          </w:p>
        </w:tc>
      </w:tr>
      <w:tr w:rsidR="00BE638B" w14:paraId="162FCA65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8FD0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E13F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Uỷ Ban nhân dân xã Mẫu Sơn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210E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Thôn Trà Ký , Xã Mẫu Sơn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D087" w14:textId="77777777" w:rsidR="00BE638B" w:rsidRDefault="00BE638B">
            <w:pPr>
              <w:jc w:val="right"/>
            </w:pPr>
            <w: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EF4" w14:textId="77777777" w:rsidR="00BE638B" w:rsidRDefault="00BE638B">
            <w:pPr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96C4" w14:textId="77777777" w:rsidR="00BE638B" w:rsidRDefault="00BE638B">
            <w:pPr>
              <w:jc w:val="right"/>
            </w:pPr>
            <w: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CE6C" w14:textId="77777777" w:rsidR="00BE638B" w:rsidRDefault="00BE638B">
            <w:pPr>
              <w:jc w:val="right"/>
            </w:pPr>
            <w:r>
              <w:t xml:space="preserve">22.45 </w:t>
            </w:r>
          </w:p>
        </w:tc>
      </w:tr>
      <w:tr w:rsidR="00BE638B" w14:paraId="5CD4370B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5145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8FF9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Chi cục Hải quan cửa khẩu Chi 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5F702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Thôn Chi Ma, xã Yên Khoái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E05F" w14:textId="77777777" w:rsidR="00BE638B" w:rsidRDefault="00BE638B">
            <w:pPr>
              <w:jc w:val="right"/>
            </w:pPr>
            <w:r>
              <w:t>5916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4B6A" w14:textId="77777777" w:rsidR="00BE638B" w:rsidRDefault="00BE638B">
            <w:pPr>
              <w:jc w:val="right"/>
            </w:pPr>
            <w:r>
              <w:t>4856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1679" w14:textId="77777777" w:rsidR="00BE638B" w:rsidRDefault="00BE638B">
            <w:pPr>
              <w:jc w:val="right"/>
            </w:pPr>
            <w:r>
              <w:t>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E844" w14:textId="77777777" w:rsidR="00BE638B" w:rsidRDefault="00BE638B">
            <w:pPr>
              <w:jc w:val="right"/>
            </w:pPr>
            <w:r>
              <w:t xml:space="preserve">21.83 </w:t>
            </w:r>
          </w:p>
        </w:tc>
      </w:tr>
      <w:tr w:rsidR="00BE638B" w14:paraId="7DA3F014" w14:textId="77777777" w:rsidTr="00536053">
        <w:trPr>
          <w:trHeight w:val="6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7FA1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2D23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Ủy ban nhân dân thị trấn Na Dương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75E6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Na Dương Phố 2, TT Na Dương, huyện Lộc Bình, Lạng Sơn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DEC1" w14:textId="77777777" w:rsidR="00BE638B" w:rsidRDefault="00BE638B">
            <w:pPr>
              <w:jc w:val="right"/>
            </w:pPr>
            <w: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8906" w14:textId="77777777" w:rsidR="00BE638B" w:rsidRDefault="00BE638B">
            <w:pPr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8F35" w14:textId="77777777" w:rsidR="00BE638B" w:rsidRDefault="00BE638B">
            <w:pPr>
              <w:jc w:val="right"/>
            </w:pPr>
            <w: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D0E6" w14:textId="77777777" w:rsidR="00BE638B" w:rsidRDefault="00BE638B">
            <w:pPr>
              <w:jc w:val="right"/>
            </w:pPr>
            <w:r>
              <w:t xml:space="preserve">19.34 </w:t>
            </w:r>
          </w:p>
        </w:tc>
      </w:tr>
      <w:tr w:rsidR="00BE638B" w14:paraId="6CAF2DC6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1805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28E6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Phòng Nông Nghiệp và PTNT huyện 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B20E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Khu Hòa Bình, TT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AD42" w14:textId="77777777" w:rsidR="00BE638B" w:rsidRDefault="00BE638B">
            <w:pPr>
              <w:jc w:val="right"/>
            </w:pPr>
            <w: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A593" w14:textId="77777777" w:rsidR="00BE638B" w:rsidRDefault="00BE638B">
            <w:pPr>
              <w:jc w:val="right"/>
            </w:pPr>
            <w: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E81E" w14:textId="77777777" w:rsidR="00BE638B" w:rsidRDefault="00BE638B">
            <w:pPr>
              <w:jc w:val="right"/>
            </w:pPr>
            <w: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C06F" w14:textId="77777777" w:rsidR="00BE638B" w:rsidRDefault="00BE638B">
            <w:pPr>
              <w:jc w:val="right"/>
            </w:pPr>
            <w:r>
              <w:t xml:space="preserve">16.67 </w:t>
            </w:r>
          </w:p>
        </w:tc>
      </w:tr>
      <w:tr w:rsidR="00BE638B" w14:paraId="5766822A" w14:textId="77777777" w:rsidTr="00536053">
        <w:trPr>
          <w:trHeight w:val="6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01C3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C60FF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Hội Nông dân huyện 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D13A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Khu Bản Kho,  TT Lộc Bình, huyện Lộc Bình, Tỉnh Lạng Sơn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9FEC" w14:textId="77777777" w:rsidR="00BE638B" w:rsidRDefault="00BE638B">
            <w:pPr>
              <w:jc w:val="right"/>
            </w:pPr>
            <w: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F254" w14:textId="77777777" w:rsidR="00BE638B" w:rsidRDefault="00BE638B">
            <w:pPr>
              <w:jc w:val="right"/>
            </w:pPr>
            <w: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794D" w14:textId="77777777" w:rsidR="00BE638B" w:rsidRDefault="00BE638B">
            <w:pPr>
              <w:jc w:val="right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5151" w14:textId="77777777" w:rsidR="00BE638B" w:rsidRDefault="00BE638B">
            <w:pPr>
              <w:jc w:val="right"/>
            </w:pPr>
            <w:r>
              <w:t xml:space="preserve">16.23 </w:t>
            </w:r>
          </w:p>
        </w:tc>
      </w:tr>
      <w:tr w:rsidR="00BE638B" w14:paraId="5F1BF31A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7B20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2364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Phòng Kinh tế Hạ tầng - Liên Cơ Quan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5F9C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Khu Bản Kho - TT Lộc Bình - H.Lộc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CAEC" w14:textId="77777777" w:rsidR="00BE638B" w:rsidRDefault="00BE638B">
            <w:pPr>
              <w:jc w:val="right"/>
            </w:pPr>
            <w:r>
              <w:t>2448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A543" w14:textId="77777777" w:rsidR="00BE638B" w:rsidRDefault="00BE638B">
            <w:pPr>
              <w:jc w:val="right"/>
            </w:pPr>
            <w:r>
              <w:t>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D9E7" w14:textId="77777777" w:rsidR="00BE638B" w:rsidRDefault="00BE638B">
            <w:pPr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2F3D" w14:textId="77777777" w:rsidR="00BE638B" w:rsidRDefault="00BE638B">
            <w:pPr>
              <w:jc w:val="right"/>
            </w:pPr>
            <w:r>
              <w:t xml:space="preserve">15.47 </w:t>
            </w:r>
          </w:p>
        </w:tc>
      </w:tr>
      <w:tr w:rsidR="00BE638B" w14:paraId="5D3F4C17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1246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DB81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Phòng Nội Vụ huyện 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8FB1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Khu Hòa Bình, TT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8378" w14:textId="77777777" w:rsidR="00BE638B" w:rsidRDefault="00BE638B">
            <w:pPr>
              <w:jc w:val="right"/>
            </w:pPr>
            <w: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6A56" w14:textId="77777777" w:rsidR="00BE638B" w:rsidRDefault="00BE638B">
            <w:pPr>
              <w:jc w:val="right"/>
            </w:pPr>
            <w: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339E" w14:textId="77777777" w:rsidR="00BE638B" w:rsidRDefault="00BE638B">
            <w:pPr>
              <w:jc w:val="right"/>
            </w:pPr>
            <w: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0E16" w14:textId="77777777" w:rsidR="00BE638B" w:rsidRDefault="00BE638B">
            <w:pPr>
              <w:jc w:val="right"/>
            </w:pPr>
            <w:r>
              <w:t xml:space="preserve">10.92 </w:t>
            </w:r>
          </w:p>
        </w:tc>
      </w:tr>
      <w:tr w:rsidR="00BE638B" w14:paraId="209B15C3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EFFC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18A64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Phòng Tài Chính- Kế Hoạch Huyện 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CAC3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Khu Bản Kho, TT Lộc Bình,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69AB" w14:textId="77777777" w:rsidR="00BE638B" w:rsidRDefault="00BE638B">
            <w:pPr>
              <w:jc w:val="right"/>
            </w:pPr>
            <w: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92E6" w14:textId="77777777" w:rsidR="00BE638B" w:rsidRDefault="00BE638B">
            <w:pPr>
              <w:jc w:val="right"/>
            </w:pPr>
            <w: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49DC" w14:textId="77777777" w:rsidR="00BE638B" w:rsidRDefault="00BE638B">
            <w:pPr>
              <w:jc w:val="right"/>
            </w:pPr>
            <w: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61A0" w14:textId="77777777" w:rsidR="00BE638B" w:rsidRDefault="00BE638B">
            <w:pPr>
              <w:jc w:val="right"/>
            </w:pPr>
            <w:r>
              <w:t xml:space="preserve">10.40 </w:t>
            </w:r>
          </w:p>
        </w:tc>
      </w:tr>
      <w:tr w:rsidR="00BE638B" w14:paraId="1A38E352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9D1F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B2CF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HỘI CỰU CHIẾN BINH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957B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Khối đoàn thể - Khu Bản kho - TT Lộc </w:t>
            </w:r>
            <w:r>
              <w:rPr>
                <w:color w:val="000000"/>
              </w:rPr>
              <w:lastRenderedPageBreak/>
              <w:t>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40EA" w14:textId="77777777" w:rsidR="00BE638B" w:rsidRDefault="00BE638B">
            <w:pPr>
              <w:jc w:val="right"/>
            </w:pPr>
            <w:r>
              <w:lastRenderedPageBreak/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1173" w14:textId="77777777" w:rsidR="00BE638B" w:rsidRDefault="00BE638B">
            <w:pPr>
              <w:jc w:val="right"/>
            </w:pPr>
            <w: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2FD9" w14:textId="77777777" w:rsidR="00BE638B" w:rsidRDefault="00BE638B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6978" w14:textId="77777777" w:rsidR="00BE638B" w:rsidRDefault="00BE638B">
            <w:pPr>
              <w:jc w:val="right"/>
            </w:pPr>
            <w:r>
              <w:t xml:space="preserve">8.57 </w:t>
            </w:r>
          </w:p>
        </w:tc>
      </w:tr>
      <w:tr w:rsidR="00BE638B" w14:paraId="0DA62645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7DEF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F5B2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Ủy ban nhân dân xã Nam Quan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6628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Thôn Bản Tó, Xã Nam Quan,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0B16" w14:textId="77777777" w:rsidR="00BE638B" w:rsidRDefault="00BE638B">
            <w:pPr>
              <w:jc w:val="right"/>
            </w:pPr>
            <w:r>
              <w:t>1457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1CE4" w14:textId="77777777" w:rsidR="00BE638B" w:rsidRDefault="00BE638B">
            <w:pPr>
              <w:jc w:val="right"/>
            </w:pPr>
            <w:r>
              <w:t>1355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1EC2" w14:textId="77777777" w:rsidR="00BE638B" w:rsidRDefault="00BE638B">
            <w:pPr>
              <w:jc w:val="right"/>
            </w:pPr>
            <w: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E0B5" w14:textId="77777777" w:rsidR="00BE638B" w:rsidRDefault="00BE638B">
            <w:pPr>
              <w:jc w:val="right"/>
            </w:pPr>
            <w:r>
              <w:t xml:space="preserve">7.53 </w:t>
            </w:r>
          </w:p>
        </w:tc>
      </w:tr>
      <w:tr w:rsidR="00BE638B" w14:paraId="3C867995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E67B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C61E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Uỷ ban Nhân Dân xã Xuân Dương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20AD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Thôn Pò Chang, Xã Xuân Dương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5408" w14:textId="77777777" w:rsidR="00BE638B" w:rsidRDefault="00BE638B">
            <w:pPr>
              <w:jc w:val="right"/>
            </w:pPr>
            <w:r>
              <w:t>1147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7FCF" w14:textId="77777777" w:rsidR="00BE638B" w:rsidRDefault="00BE638B">
            <w:pPr>
              <w:jc w:val="right"/>
            </w:pPr>
            <w:r>
              <w:t>1084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1E48" w14:textId="77777777" w:rsidR="00BE638B" w:rsidRDefault="00BE638B">
            <w:pPr>
              <w:jc w:val="right"/>
            </w:pPr>
            <w: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BA8D" w14:textId="77777777" w:rsidR="00BE638B" w:rsidRDefault="00BE638B">
            <w:pPr>
              <w:jc w:val="right"/>
            </w:pPr>
            <w:r>
              <w:t xml:space="preserve">5.81 </w:t>
            </w:r>
          </w:p>
        </w:tc>
      </w:tr>
      <w:tr w:rsidR="00BE638B" w14:paraId="41E5980D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121D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92DD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HỘI CHỮ THẬP ĐỎ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0831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Khu Hòa Bình, TT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2CD3" w14:textId="77777777" w:rsidR="00BE638B" w:rsidRDefault="00BE638B">
            <w:pPr>
              <w:jc w:val="right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5925" w14:textId="77777777" w:rsidR="00BE638B" w:rsidRDefault="00BE638B">
            <w:pPr>
              <w:jc w:val="right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A6A6" w14:textId="77777777" w:rsidR="00BE638B" w:rsidRDefault="00BE638B">
            <w:pPr>
              <w:jc w:val="right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0FB6" w14:textId="77777777" w:rsidR="00BE638B" w:rsidRDefault="00BE638B">
            <w:pPr>
              <w:jc w:val="right"/>
            </w:pPr>
            <w:r>
              <w:t xml:space="preserve">4.17 </w:t>
            </w:r>
          </w:p>
        </w:tc>
      </w:tr>
      <w:tr w:rsidR="00BE638B" w14:paraId="519142F6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09E2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F0CD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Ủy ban nhân dân xã Hữu Khánh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D02C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Thôn Bản Rị, Xã Hữu Khánh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10CF" w14:textId="77777777" w:rsidR="00BE638B" w:rsidRDefault="00BE638B">
            <w:pPr>
              <w:jc w:val="right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B389" w14:textId="77777777" w:rsidR="00BE638B" w:rsidRDefault="00BE638B">
            <w:pPr>
              <w:jc w:val="right"/>
            </w:pPr>
            <w: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5C8B" w14:textId="77777777" w:rsidR="00BE638B" w:rsidRDefault="00BE638B">
            <w:pPr>
              <w:jc w:val="right"/>
            </w:pPr>
            <w: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2F2B" w14:textId="77777777" w:rsidR="00BE638B" w:rsidRDefault="00BE638B">
            <w:pPr>
              <w:jc w:val="right"/>
            </w:pPr>
            <w:r>
              <w:t xml:space="preserve">3.73 </w:t>
            </w:r>
          </w:p>
        </w:tc>
      </w:tr>
      <w:tr w:rsidR="00BE638B" w14:paraId="160363D7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B600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07A6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Công an huyện 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497E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Phố Hòa Bình Thị trấn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269D" w14:textId="77777777" w:rsidR="00BE638B" w:rsidRDefault="00BE638B">
            <w:pPr>
              <w:jc w:val="right"/>
            </w:pPr>
            <w: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2596" w14:textId="77777777" w:rsidR="00BE638B" w:rsidRDefault="00BE638B">
            <w:pPr>
              <w:jc w:val="right"/>
            </w:pPr>
            <w: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A915" w14:textId="77777777" w:rsidR="00BE638B" w:rsidRDefault="00BE638B">
            <w:pPr>
              <w:jc w:val="right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704E" w14:textId="77777777" w:rsidR="00BE638B" w:rsidRDefault="00BE638B">
            <w:pPr>
              <w:jc w:val="right"/>
            </w:pPr>
            <w:r>
              <w:t xml:space="preserve">3.65 </w:t>
            </w:r>
          </w:p>
        </w:tc>
      </w:tr>
      <w:tr w:rsidR="00BE638B" w14:paraId="60A0173D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DA31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4E49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Uỷ ban nhân dân xã Tú Mịch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211B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Thôn Nà Van, Xã Tú Mịch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F9CC" w14:textId="77777777" w:rsidR="00BE638B" w:rsidRDefault="00BE638B">
            <w:pPr>
              <w:jc w:val="right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0403" w14:textId="77777777" w:rsidR="00BE638B" w:rsidRDefault="00BE638B">
            <w:pPr>
              <w:jc w:val="right"/>
            </w:pPr>
            <w: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DF6D" w14:textId="77777777" w:rsidR="00BE638B" w:rsidRDefault="00BE638B">
            <w:pPr>
              <w:jc w:val="right"/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277F" w14:textId="77777777" w:rsidR="00BE638B" w:rsidRDefault="00BE638B">
            <w:pPr>
              <w:jc w:val="right"/>
            </w:pPr>
            <w:r>
              <w:t xml:space="preserve">3.37 </w:t>
            </w:r>
          </w:p>
        </w:tc>
      </w:tr>
      <w:tr w:rsidR="00BE638B" w14:paraId="2CB851B4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72C5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FA2E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Hội Đông y huyện 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B869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SN 66 Khu Bờ sông - TT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7E2C" w14:textId="77777777" w:rsidR="00BE638B" w:rsidRDefault="00BE638B">
            <w:pPr>
              <w:jc w:val="right"/>
            </w:pPr>
            <w: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125C" w14:textId="77777777" w:rsidR="00BE638B" w:rsidRDefault="00BE638B">
            <w:pPr>
              <w:jc w:val="right"/>
            </w:pPr>
            <w: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2BFC" w14:textId="77777777" w:rsidR="00BE638B" w:rsidRDefault="00BE638B">
            <w:pPr>
              <w:jc w:val="right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62AC" w14:textId="77777777" w:rsidR="00BE638B" w:rsidRDefault="00BE638B">
            <w:pPr>
              <w:jc w:val="right"/>
            </w:pPr>
            <w:r>
              <w:t xml:space="preserve">3.17 </w:t>
            </w:r>
          </w:p>
        </w:tc>
      </w:tr>
      <w:tr w:rsidR="00BE638B" w14:paraId="0430A28E" w14:textId="77777777" w:rsidTr="00536053">
        <w:trPr>
          <w:trHeight w:val="6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2B7A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ACED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Bộ Chi huy Quân sự tỉnh Lạng Sơn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F67D" w14:textId="2B6A0183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Số 02, Đường Nguyễn Thái Học, Phường Chi Lăng, Thành Phố Lạng Sơn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CC97" w14:textId="77777777" w:rsidR="00BE638B" w:rsidRDefault="00BE638B">
            <w:pPr>
              <w:jc w:val="right"/>
            </w:pPr>
            <w: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72A8" w14:textId="77777777" w:rsidR="00BE638B" w:rsidRDefault="00BE638B">
            <w:pPr>
              <w:jc w:val="right"/>
            </w:pPr>
            <w: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5A8B" w14:textId="77777777" w:rsidR="00BE638B" w:rsidRDefault="00BE638B">
            <w:pPr>
              <w:jc w:val="right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5339" w14:textId="77777777" w:rsidR="00BE638B" w:rsidRDefault="00BE638B">
            <w:pPr>
              <w:jc w:val="right"/>
            </w:pPr>
            <w:r>
              <w:t xml:space="preserve">2.99 </w:t>
            </w:r>
          </w:p>
        </w:tc>
      </w:tr>
      <w:tr w:rsidR="00BE638B" w14:paraId="35643B68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C3D4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763C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Uỷ ban nhân dân xã Tú Đoạn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8395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Thôn Đinh Chùa, Xã Tú Đoạn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D646" w14:textId="77777777" w:rsidR="00BE638B" w:rsidRDefault="00BE638B">
            <w:pPr>
              <w:jc w:val="right"/>
            </w:pPr>
            <w:r>
              <w:t>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31E5" w14:textId="77777777" w:rsidR="00BE638B" w:rsidRDefault="00BE638B">
            <w:pPr>
              <w:jc w:val="right"/>
            </w:pPr>
            <w: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D856" w14:textId="77777777" w:rsidR="00BE638B" w:rsidRDefault="00BE638B">
            <w:pPr>
              <w:jc w:val="right"/>
            </w:pPr>
            <w: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3348" w14:textId="77777777" w:rsidR="00BE638B" w:rsidRDefault="00BE638B">
            <w:pPr>
              <w:jc w:val="right"/>
            </w:pPr>
            <w:r>
              <w:t xml:space="preserve">2.68 </w:t>
            </w:r>
          </w:p>
        </w:tc>
      </w:tr>
      <w:tr w:rsidR="00BE638B" w14:paraId="1FB6F66A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CDFC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2826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Bảo Hiểm xã Hội Huyện 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E6FC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Khu Bản Kho, Thị trấn Lộc Bình,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3FB0" w14:textId="77777777" w:rsidR="00BE638B" w:rsidRDefault="00BE638B">
            <w:pPr>
              <w:jc w:val="right"/>
            </w:pPr>
            <w:r>
              <w:t>1355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4397" w14:textId="77777777" w:rsidR="00BE638B" w:rsidRDefault="00BE638B">
            <w:pPr>
              <w:jc w:val="right"/>
            </w:pPr>
            <w:r>
              <w:t>1348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CD0D" w14:textId="77777777" w:rsidR="00BE638B" w:rsidRDefault="00BE638B">
            <w:pPr>
              <w:jc w:val="right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335B" w14:textId="77777777" w:rsidR="00BE638B" w:rsidRDefault="00BE638B">
            <w:pPr>
              <w:jc w:val="right"/>
            </w:pPr>
            <w:r>
              <w:t xml:space="preserve">0.52 </w:t>
            </w:r>
          </w:p>
        </w:tc>
      </w:tr>
      <w:tr w:rsidR="00BE638B" w14:paraId="3B9F883F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F781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F624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UBND xã Lợi Bác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9A99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Thôn Nà U- Xã Lợi Bác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990C" w14:textId="77777777" w:rsidR="00BE638B" w:rsidRDefault="00BE638B">
            <w:pPr>
              <w:jc w:val="right"/>
            </w:pPr>
            <w:r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6DC6" w14:textId="77777777" w:rsidR="00BE638B" w:rsidRDefault="00BE638B">
            <w:pPr>
              <w:jc w:val="right"/>
            </w:pPr>
            <w:r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2E0E" w14:textId="77777777" w:rsidR="00BE638B" w:rsidRDefault="00BE638B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A2DA" w14:textId="77777777" w:rsidR="00BE638B" w:rsidRDefault="00BE638B">
            <w:pPr>
              <w:jc w:val="right"/>
            </w:pPr>
            <w:r>
              <w:t xml:space="preserve">0.00 </w:t>
            </w:r>
          </w:p>
        </w:tc>
      </w:tr>
      <w:tr w:rsidR="00BE638B" w14:paraId="1781ECB5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A6E2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2FAD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Phòng Giáo dục và Đào tạo huyện 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D830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Khu Hòa Bình, TT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8932" w14:textId="77777777" w:rsidR="00BE638B" w:rsidRDefault="00BE638B">
            <w:pPr>
              <w:jc w:val="right"/>
            </w:pPr>
            <w: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2240" w14:textId="77777777" w:rsidR="00BE638B" w:rsidRDefault="00BE638B">
            <w:pPr>
              <w:jc w:val="right"/>
            </w:pPr>
            <w:r>
              <w:t>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B80F" w14:textId="77777777" w:rsidR="00BE638B" w:rsidRDefault="00BE638B">
            <w:pPr>
              <w:jc w:val="right"/>
            </w:pPr>
            <w: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E3E1" w14:textId="77777777" w:rsidR="00BE638B" w:rsidRDefault="00BE638B">
            <w:pPr>
              <w:jc w:val="right"/>
            </w:pPr>
            <w:r>
              <w:rPr>
                <w:color w:val="FF0000"/>
              </w:rPr>
              <w:t>(0.08)</w:t>
            </w:r>
          </w:p>
        </w:tc>
      </w:tr>
      <w:tr w:rsidR="00BE638B" w14:paraId="36EB5F9E" w14:textId="77777777" w:rsidTr="00536053">
        <w:trPr>
          <w:trHeight w:val="6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978B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ADC0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Hội Liên hiệp phụ nữ huyện 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7B24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Khu Bản Kho,  TT Lộc Bình, huyện Lộc Bình, tỉnh Lạng Sơn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C621" w14:textId="77777777" w:rsidR="00BE638B" w:rsidRDefault="00BE638B">
            <w:pPr>
              <w:jc w:val="right"/>
            </w:pPr>
            <w: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C6B7" w14:textId="77777777" w:rsidR="00BE638B" w:rsidRDefault="00BE638B">
            <w:pPr>
              <w:jc w:val="right"/>
            </w:pPr>
            <w: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3572" w14:textId="77777777" w:rsidR="00BE638B" w:rsidRDefault="00BE638B">
            <w:pPr>
              <w:jc w:val="right"/>
            </w:pPr>
            <w: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1D85" w14:textId="77777777" w:rsidR="00BE638B" w:rsidRDefault="00BE638B">
            <w:pPr>
              <w:jc w:val="right"/>
            </w:pPr>
            <w:r>
              <w:rPr>
                <w:color w:val="FF0000"/>
              </w:rPr>
              <w:t>(1.55)</w:t>
            </w:r>
          </w:p>
        </w:tc>
      </w:tr>
      <w:tr w:rsidR="00BE638B" w14:paraId="217761A8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043D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A22E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Kho bạc nhà nước Huyện 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88AB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Khu Bản Kho - TT Lộc Bình - H.Lộc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C650" w14:textId="77777777" w:rsidR="00BE638B" w:rsidRDefault="00BE638B">
            <w:pPr>
              <w:jc w:val="right"/>
            </w:pPr>
            <w:r>
              <w:t>1311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BBC3" w14:textId="77777777" w:rsidR="00BE638B" w:rsidRDefault="00BE638B">
            <w:pPr>
              <w:jc w:val="right"/>
            </w:pPr>
            <w:r>
              <w:t>1356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FEDF" w14:textId="77777777" w:rsidR="00BE638B" w:rsidRDefault="00BE638B">
            <w:pPr>
              <w:jc w:val="right"/>
            </w:pPr>
            <w:r>
              <w:t>-45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76B3" w14:textId="77777777" w:rsidR="00BE638B" w:rsidRDefault="00BE638B">
            <w:pPr>
              <w:jc w:val="right"/>
            </w:pPr>
            <w:r>
              <w:rPr>
                <w:color w:val="FF0000"/>
              </w:rPr>
              <w:t>(3.32)</w:t>
            </w:r>
          </w:p>
        </w:tc>
      </w:tr>
      <w:tr w:rsidR="00BE638B" w14:paraId="7162F824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3F72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FB50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Ủy ban mặt trận tổ quốc huyện 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6127E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Khu Bản Kho, Thị trấn Lộc Bình,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2ADC" w14:textId="77777777" w:rsidR="00BE638B" w:rsidRDefault="00BE638B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37E0" w14:textId="77777777" w:rsidR="00BE638B" w:rsidRDefault="00BE638B">
            <w:pPr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732D" w14:textId="77777777" w:rsidR="00BE638B" w:rsidRDefault="00BE638B">
            <w:pPr>
              <w:jc w:val="right"/>
            </w:pPr>
            <w:r>
              <w:t>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6748" w14:textId="77777777" w:rsidR="00BE638B" w:rsidRDefault="00BE638B">
            <w:pPr>
              <w:jc w:val="right"/>
            </w:pPr>
            <w:r>
              <w:rPr>
                <w:color w:val="FF0000"/>
              </w:rPr>
              <w:t>(4.04)</w:t>
            </w:r>
          </w:p>
        </w:tc>
      </w:tr>
      <w:tr w:rsidR="00BE638B" w14:paraId="26729585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65C0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6D83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UBND xã Yên Khoái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10AE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Thôn Long Đầu, Xã Yên Khoái, Lộc Bình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D819" w14:textId="77777777" w:rsidR="00BE638B" w:rsidRDefault="00BE638B">
            <w:pPr>
              <w:jc w:val="right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1EB5" w14:textId="77777777" w:rsidR="00BE638B" w:rsidRDefault="00BE638B">
            <w:pPr>
              <w:jc w:val="right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E79D" w14:textId="77777777" w:rsidR="00BE638B" w:rsidRDefault="00BE638B">
            <w:pPr>
              <w:jc w:val="right"/>
            </w:pPr>
            <w: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E0D" w14:textId="77777777" w:rsidR="00BE638B" w:rsidRDefault="00BE638B">
            <w:pPr>
              <w:jc w:val="right"/>
            </w:pPr>
            <w:r>
              <w:rPr>
                <w:color w:val="FF0000"/>
              </w:rPr>
              <w:t>(6.49)</w:t>
            </w:r>
          </w:p>
        </w:tc>
      </w:tr>
      <w:tr w:rsidR="00BE638B" w14:paraId="22177BD7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DF45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0646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UBND Huyện 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8BB7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Khu Hòa Bình, TT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AE9E" w14:textId="77777777" w:rsidR="00BE638B" w:rsidRDefault="00BE638B">
            <w:pPr>
              <w:jc w:val="right"/>
            </w:pPr>
            <w:r>
              <w:t>3137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B3A5" w14:textId="77777777" w:rsidR="00BE638B" w:rsidRDefault="00BE638B">
            <w:pPr>
              <w:jc w:val="right"/>
            </w:pPr>
            <w:r>
              <w:t>3412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AF63" w14:textId="77777777" w:rsidR="00BE638B" w:rsidRDefault="00BE638B">
            <w:pPr>
              <w:jc w:val="right"/>
            </w:pPr>
            <w:r>
              <w:t>-275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38C3" w14:textId="77777777" w:rsidR="00BE638B" w:rsidRDefault="00BE638B">
            <w:pPr>
              <w:jc w:val="right"/>
            </w:pPr>
            <w:r>
              <w:rPr>
                <w:color w:val="FF0000"/>
              </w:rPr>
              <w:t>(8.06)</w:t>
            </w:r>
          </w:p>
        </w:tc>
      </w:tr>
      <w:tr w:rsidR="00BE638B" w14:paraId="252BC15F" w14:textId="77777777" w:rsidTr="00536053">
        <w:trPr>
          <w:trHeight w:val="6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A944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87E75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Phòng Kinh tế và Hạ tầng huyện 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FF95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Khu TĐC Chi Ma, xã Yên Khoái, huyện Lộc Bình, tỉnh Lạng Sơn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CFFE" w14:textId="77777777" w:rsidR="00BE638B" w:rsidRDefault="00BE638B">
            <w:pPr>
              <w:jc w:val="right"/>
            </w:pPr>
            <w:r>
              <w:t>3469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2D72" w14:textId="77777777" w:rsidR="00BE638B" w:rsidRDefault="00BE638B">
            <w:pPr>
              <w:jc w:val="right"/>
            </w:pPr>
            <w:r>
              <w:t>3807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5704" w14:textId="77777777" w:rsidR="00BE638B" w:rsidRDefault="00BE638B">
            <w:pPr>
              <w:jc w:val="right"/>
            </w:pPr>
            <w:r>
              <w:t>-338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FDCF" w14:textId="77777777" w:rsidR="00BE638B" w:rsidRDefault="00BE638B">
            <w:pPr>
              <w:jc w:val="right"/>
            </w:pPr>
            <w:r>
              <w:rPr>
                <w:color w:val="FF0000"/>
              </w:rPr>
              <w:t>(8.88)</w:t>
            </w:r>
          </w:p>
        </w:tc>
      </w:tr>
      <w:tr w:rsidR="00BE638B" w14:paraId="12774648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24D1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2E74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Phòng Tài nguyên và Môi trường huyện Lộc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11BF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Khu Hòa Bình, TT Lộc Bình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C519" w14:textId="77777777" w:rsidR="00BE638B" w:rsidRDefault="00BE638B">
            <w:pPr>
              <w:jc w:val="right"/>
            </w:pPr>
            <w: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1B89" w14:textId="77777777" w:rsidR="00BE638B" w:rsidRDefault="00BE638B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2D3C" w14:textId="77777777" w:rsidR="00BE638B" w:rsidRDefault="00BE638B">
            <w:pPr>
              <w:jc w:val="right"/>
            </w:pPr>
            <w:r>
              <w:t>-69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4829" w14:textId="77777777" w:rsidR="00BE638B" w:rsidRDefault="00BE638B">
            <w:pPr>
              <w:jc w:val="right"/>
            </w:pPr>
            <w:r>
              <w:rPr>
                <w:color w:val="FF0000"/>
              </w:rPr>
              <w:t>(11.50)</w:t>
            </w:r>
          </w:p>
        </w:tc>
      </w:tr>
      <w:tr w:rsidR="00BE638B" w14:paraId="5FCAA98B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F587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E674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Ủy ban nhân dân xã Ái Quốc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C2A2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Thôn Đông Xung, Xã Ái Quốc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C087" w14:textId="77777777" w:rsidR="00BE638B" w:rsidRDefault="00BE638B">
            <w:pPr>
              <w:jc w:val="right"/>
            </w:pPr>
            <w: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E8AA" w14:textId="77777777" w:rsidR="00BE638B" w:rsidRDefault="00BE638B">
            <w:pPr>
              <w:jc w:val="right"/>
            </w:pPr>
            <w:r>
              <w:t>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91A2" w14:textId="77777777" w:rsidR="00BE638B" w:rsidRDefault="00BE638B">
            <w:pPr>
              <w:jc w:val="right"/>
            </w:pPr>
            <w:r>
              <w:t>-157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BF75" w14:textId="77777777" w:rsidR="00BE638B" w:rsidRDefault="00BE638B">
            <w:pPr>
              <w:jc w:val="right"/>
            </w:pPr>
            <w:r>
              <w:rPr>
                <w:color w:val="FF0000"/>
              </w:rPr>
              <w:t>(17.98)</w:t>
            </w:r>
          </w:p>
        </w:tc>
      </w:tr>
      <w:tr w:rsidR="00BE638B" w14:paraId="48D69F96" w14:textId="77777777" w:rsidTr="0053605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229E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0188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Uỷ Ban Nhân dân xã Tam Gia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9B3F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 Thôn Pò Mâm, Xã Tam Gia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7562" w14:textId="77777777" w:rsidR="00BE638B" w:rsidRDefault="00BE638B">
            <w:pPr>
              <w:jc w:val="right"/>
            </w:pPr>
            <w:r>
              <w:t>1739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24F7" w14:textId="77777777" w:rsidR="00BE638B" w:rsidRDefault="00BE638B">
            <w:pPr>
              <w:jc w:val="right"/>
            </w:pPr>
            <w:r>
              <w:t>2187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F4F2" w14:textId="77777777" w:rsidR="00BE638B" w:rsidRDefault="00BE638B">
            <w:pPr>
              <w:jc w:val="right"/>
            </w:pPr>
            <w:r>
              <w:t>-448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99E4" w14:textId="77777777" w:rsidR="00BE638B" w:rsidRDefault="00BE638B">
            <w:pPr>
              <w:jc w:val="right"/>
            </w:pPr>
            <w:r>
              <w:rPr>
                <w:color w:val="FF0000"/>
              </w:rPr>
              <w:t>(20.48)</w:t>
            </w:r>
          </w:p>
        </w:tc>
      </w:tr>
      <w:tr w:rsidR="00BE638B" w14:paraId="7B68725D" w14:textId="77777777" w:rsidTr="00536053">
        <w:trPr>
          <w:trHeight w:val="630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1C93" w14:textId="77777777" w:rsidR="00BE638B" w:rsidRDefault="00BE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207F" w14:textId="77777777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>Viện Kiểm Sát nhân dân huyện Lộc Bình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93F6" w14:textId="5372867B" w:rsidR="00BE638B" w:rsidRDefault="00BE638B">
            <w:pPr>
              <w:rPr>
                <w:color w:val="000000"/>
              </w:rPr>
            </w:pPr>
            <w:r>
              <w:rPr>
                <w:color w:val="000000"/>
              </w:rPr>
              <w:t xml:space="preserve">Khu Lao Động, TT Lộc Bình, huyện Lộc Bình,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0688" w14:textId="77777777" w:rsidR="00BE638B" w:rsidRDefault="00BE638B">
            <w:pPr>
              <w:jc w:val="right"/>
            </w:pPr>
            <w: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51CC" w14:textId="77777777" w:rsidR="00BE638B" w:rsidRDefault="00BE638B">
            <w:pPr>
              <w:jc w:val="right"/>
            </w:pPr>
            <w:r>
              <w:t>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B00A" w14:textId="77777777" w:rsidR="00BE638B" w:rsidRDefault="00BE638B">
            <w:pPr>
              <w:jc w:val="right"/>
            </w:pPr>
            <w:r>
              <w:t>-209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3A8F" w14:textId="77777777" w:rsidR="00BE638B" w:rsidRDefault="00BE638B">
            <w:pPr>
              <w:jc w:val="right"/>
            </w:pPr>
            <w:r>
              <w:rPr>
                <w:color w:val="FF0000"/>
              </w:rPr>
              <w:t>(23.30)</w:t>
            </w:r>
          </w:p>
        </w:tc>
      </w:tr>
      <w:tr w:rsidR="00771315" w14:paraId="5601DD46" w14:textId="77777777" w:rsidTr="00536053">
        <w:trPr>
          <w:trHeight w:val="6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C5D0" w14:textId="77777777" w:rsidR="00771315" w:rsidRDefault="00771315">
            <w:pPr>
              <w:jc w:val="center"/>
              <w:rPr>
                <w:color w:val="000000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B26D" w14:textId="7D2C66A0" w:rsidR="00771315" w:rsidRPr="00771315" w:rsidRDefault="00771315">
            <w:pPr>
              <w:rPr>
                <w:b/>
                <w:bCs/>
                <w:color w:val="000000"/>
              </w:rPr>
            </w:pPr>
            <w:r w:rsidRPr="00771315">
              <w:rPr>
                <w:b/>
                <w:bCs/>
                <w:color w:val="000000"/>
              </w:rPr>
              <w:t>Tổng cộng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9CECC" w14:textId="77777777" w:rsidR="00771315" w:rsidRDefault="0077131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F41BA" w14:textId="69ABC735" w:rsidR="00771315" w:rsidRPr="006C64FD" w:rsidRDefault="006C64FD">
            <w:pPr>
              <w:jc w:val="right"/>
              <w:rPr>
                <w:b/>
                <w:bCs/>
              </w:rPr>
            </w:pPr>
            <w:r w:rsidRPr="006C64FD">
              <w:rPr>
                <w:b/>
                <w:bCs/>
              </w:rPr>
              <w:t>63.176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93957" w14:textId="42F8DFB8" w:rsidR="00771315" w:rsidRPr="006C64FD" w:rsidRDefault="006C64FD">
            <w:pPr>
              <w:jc w:val="right"/>
              <w:rPr>
                <w:b/>
                <w:bCs/>
              </w:rPr>
            </w:pPr>
            <w:r w:rsidRPr="006C64FD">
              <w:rPr>
                <w:b/>
                <w:bCs/>
              </w:rPr>
              <w:t>54.087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7DFF" w14:textId="1F535A7D" w:rsidR="00771315" w:rsidRPr="006C64FD" w:rsidRDefault="006C64FD">
            <w:pPr>
              <w:jc w:val="right"/>
              <w:rPr>
                <w:b/>
                <w:bCs/>
              </w:rPr>
            </w:pPr>
            <w:r w:rsidRPr="006C64FD">
              <w:rPr>
                <w:b/>
                <w:bCs/>
              </w:rPr>
              <w:t>9.629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83BF" w14:textId="03892951" w:rsidR="00771315" w:rsidRDefault="006C64FD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17.8</w:t>
            </w:r>
          </w:p>
        </w:tc>
      </w:tr>
    </w:tbl>
    <w:p w14:paraId="3A1E2395" w14:textId="77777777" w:rsidR="00022251" w:rsidRPr="005B7DB1" w:rsidRDefault="00022251" w:rsidP="00022251">
      <w:pPr>
        <w:spacing w:before="60"/>
        <w:jc w:val="both"/>
        <w:rPr>
          <w:b/>
          <w:iCs/>
          <w:sz w:val="28"/>
          <w:szCs w:val="28"/>
        </w:rPr>
      </w:pPr>
    </w:p>
    <w:p w14:paraId="3344C72F" w14:textId="11564F6A" w:rsidR="004A62D0" w:rsidRDefault="004A62D0" w:rsidP="000530C0">
      <w:pPr>
        <w:spacing w:before="60"/>
        <w:ind w:firstLine="567"/>
        <w:jc w:val="both"/>
        <w:rPr>
          <w:sz w:val="28"/>
          <w:szCs w:val="28"/>
        </w:rPr>
      </w:pPr>
      <w:r w:rsidRPr="00536053">
        <w:rPr>
          <w:bCs/>
          <w:iCs/>
          <w:sz w:val="28"/>
          <w:szCs w:val="28"/>
        </w:rPr>
        <w:t xml:space="preserve">Trên đây là chi tiết sử dụng điện tháng 3/2024 của các cơ quan HCSN trên địa bàn Huyện Lộc Bình, đề </w:t>
      </w:r>
      <w:r w:rsidR="003C17B2">
        <w:rPr>
          <w:bCs/>
          <w:iCs/>
          <w:sz w:val="28"/>
          <w:szCs w:val="28"/>
        </w:rPr>
        <w:t>ngh</w:t>
      </w:r>
      <w:r w:rsidRPr="00536053">
        <w:rPr>
          <w:bCs/>
          <w:iCs/>
          <w:sz w:val="28"/>
          <w:szCs w:val="28"/>
        </w:rPr>
        <w:t xml:space="preserve">ị các đơn vị kiểm soát tình hình sử dụng điện của đơn vị và có kế hoạch sử dụng điện tiết kiệm theo kế hoạch </w:t>
      </w:r>
      <w:r w:rsidRPr="00536053">
        <w:rPr>
          <w:sz w:val="28"/>
          <w:szCs w:val="28"/>
        </w:rPr>
        <w:t>số 148</w:t>
      </w:r>
      <w:r w:rsidRPr="00536053">
        <w:rPr>
          <w:spacing w:val="-2"/>
          <w:sz w:val="28"/>
          <w:szCs w:val="28"/>
        </w:rPr>
        <w:t>/KH-UBND ngày 04/7/2023 của UBND tỉnh Lạng Sơn</w:t>
      </w:r>
      <w:r w:rsidRPr="00536053">
        <w:rPr>
          <w:bCs/>
          <w:iCs/>
          <w:sz w:val="28"/>
          <w:szCs w:val="28"/>
        </w:rPr>
        <w:t xml:space="preserve">  </w:t>
      </w:r>
      <w:r w:rsidR="00536053" w:rsidRPr="00536053">
        <w:rPr>
          <w:sz w:val="28"/>
          <w:szCs w:val="28"/>
        </w:rPr>
        <w:t>v/v thực hiện Chỉ thị số 20/CT-TTg ngày 08/6/2023 của Thủ tướng Chính phủ</w:t>
      </w:r>
      <w:r w:rsidR="00536053">
        <w:rPr>
          <w:sz w:val="28"/>
          <w:szCs w:val="28"/>
        </w:rPr>
        <w:t>. Cụ thể:</w:t>
      </w:r>
    </w:p>
    <w:p w14:paraId="0CFE4C44" w14:textId="0D2B9956" w:rsidR="00536053" w:rsidRPr="00536053" w:rsidRDefault="00536053" w:rsidP="000530C0">
      <w:pPr>
        <w:spacing w:before="60"/>
        <w:ind w:firstLine="567"/>
        <w:jc w:val="both"/>
        <w:rPr>
          <w:sz w:val="28"/>
          <w:szCs w:val="28"/>
        </w:rPr>
      </w:pPr>
      <w:r w:rsidRPr="00536053">
        <w:rPr>
          <w:sz w:val="28"/>
          <w:szCs w:val="28"/>
        </w:rPr>
        <w:t xml:space="preserve">(i) </w:t>
      </w:r>
      <w:r>
        <w:rPr>
          <w:sz w:val="28"/>
          <w:szCs w:val="28"/>
        </w:rPr>
        <w:t>X</w:t>
      </w:r>
      <w:r w:rsidRPr="00536053">
        <w:rPr>
          <w:sz w:val="28"/>
          <w:szCs w:val="28"/>
        </w:rPr>
        <w:t xml:space="preserve">ây dựng, phổ biến và tổ chức thực hiện các quy định nội bộ về tiết kiệm điện, quy tắc về sử dụng điện tiết kiệm, </w:t>
      </w:r>
      <w:proofErr w:type="gramStart"/>
      <w:r w:rsidRPr="00536053">
        <w:rPr>
          <w:sz w:val="28"/>
          <w:szCs w:val="28"/>
        </w:rPr>
        <w:t>an</w:t>
      </w:r>
      <w:proofErr w:type="gramEnd"/>
      <w:r w:rsidRPr="00536053">
        <w:rPr>
          <w:sz w:val="28"/>
          <w:szCs w:val="28"/>
        </w:rPr>
        <w:t xml:space="preserve"> toàn và hiệu quả trong cơ quan, đơn vị. Đảm bảo hằng năm tối thiểu tiết kiệm 5,0% tổng điện năng tiêu thụ theo kế hoạch số 148/KH-UBND ngày 04/7/2023 của UBND tỉnh Lạng Sơn; (ii) Tuân thủ các quy định về chiếu sáng tiết kiệm và hiệu quả; quy định về sử dụng, bảo dưỡng và sửa chữa các trang thiết bị điện tại cơ quan, đơn vị; </w:t>
      </w:r>
      <w:r w:rsidR="003C17B2">
        <w:rPr>
          <w:sz w:val="28"/>
          <w:szCs w:val="28"/>
        </w:rPr>
        <w:t>(iii)</w:t>
      </w:r>
      <w:r w:rsidRPr="00536053">
        <w:rPr>
          <w:sz w:val="28"/>
          <w:szCs w:val="28"/>
        </w:rPr>
        <w:t xml:space="preserve"> Tận dụng tối đa ánh sáng và thông gió tự nhiên tại phòng làm việc; Điều chỉnh điều hòa ở nhiệt độ từ 26°C trở lên; Tắt điện khi ra 3 khỏi phòng, tắt nguồn điện máy tính, máy in, máy photocopy, các thiết bị tiêu thụ điện khác khi hết giờ làm việc tại trụ sở làm việc.</w:t>
      </w:r>
    </w:p>
    <w:p w14:paraId="712A9E00" w14:textId="77777777" w:rsidR="00536053" w:rsidRPr="00536053" w:rsidRDefault="00536053" w:rsidP="000530C0">
      <w:pPr>
        <w:spacing w:before="60"/>
        <w:ind w:firstLine="567"/>
        <w:jc w:val="both"/>
        <w:rPr>
          <w:bCs/>
          <w:iCs/>
          <w:sz w:val="28"/>
          <w:szCs w:val="28"/>
        </w:rPr>
      </w:pPr>
    </w:p>
    <w:p w14:paraId="0802F422" w14:textId="77777777" w:rsidR="00FB08F9" w:rsidRDefault="00FB08F9" w:rsidP="00F961D6"/>
    <w:sectPr w:rsidR="00FB08F9" w:rsidSect="00F21AF5">
      <w:headerReference w:type="default" r:id="rId9"/>
      <w:pgSz w:w="16840" w:h="11900" w:orient="landscape" w:code="9"/>
      <w:pgMar w:top="1134" w:right="1134" w:bottom="1701" w:left="1134" w:header="680" w:footer="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31854" w14:textId="77777777" w:rsidR="00F47155" w:rsidRDefault="00F47155" w:rsidP="009C4DFA">
      <w:r>
        <w:separator/>
      </w:r>
    </w:p>
  </w:endnote>
  <w:endnote w:type="continuationSeparator" w:id="0">
    <w:p w14:paraId="752718B8" w14:textId="77777777" w:rsidR="00F47155" w:rsidRDefault="00F47155" w:rsidP="009C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H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2CE30" w14:textId="77777777" w:rsidR="00F47155" w:rsidRDefault="00F47155" w:rsidP="009C4DFA">
      <w:r>
        <w:separator/>
      </w:r>
    </w:p>
  </w:footnote>
  <w:footnote w:type="continuationSeparator" w:id="0">
    <w:p w14:paraId="6C31B0CC" w14:textId="77777777" w:rsidR="00F47155" w:rsidRDefault="00F47155" w:rsidP="009C4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1619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9057D3" w14:textId="04863A2F" w:rsidR="004D34E6" w:rsidRDefault="004D34E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8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FAD67D2" w14:textId="77777777" w:rsidR="00233522" w:rsidRDefault="0023352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687"/>
    <w:multiLevelType w:val="hybridMultilevel"/>
    <w:tmpl w:val="5BDA13D0"/>
    <w:lvl w:ilvl="0" w:tplc="DF86D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CA4955"/>
    <w:multiLevelType w:val="hybridMultilevel"/>
    <w:tmpl w:val="F28816B6"/>
    <w:lvl w:ilvl="0" w:tplc="9216C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F42DBF"/>
    <w:multiLevelType w:val="hybridMultilevel"/>
    <w:tmpl w:val="01CE8A6C"/>
    <w:lvl w:ilvl="0" w:tplc="0254AA6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AD"/>
    <w:rsid w:val="00022251"/>
    <w:rsid w:val="000249E6"/>
    <w:rsid w:val="00033DA3"/>
    <w:rsid w:val="00040FCC"/>
    <w:rsid w:val="00051139"/>
    <w:rsid w:val="000530C0"/>
    <w:rsid w:val="00054EE9"/>
    <w:rsid w:val="00060201"/>
    <w:rsid w:val="00062C92"/>
    <w:rsid w:val="000D0280"/>
    <w:rsid w:val="000D4E05"/>
    <w:rsid w:val="000D6047"/>
    <w:rsid w:val="000F0F46"/>
    <w:rsid w:val="000F33D9"/>
    <w:rsid w:val="000F429F"/>
    <w:rsid w:val="000F6041"/>
    <w:rsid w:val="00105B3D"/>
    <w:rsid w:val="00143591"/>
    <w:rsid w:val="0018374F"/>
    <w:rsid w:val="001A265E"/>
    <w:rsid w:val="001C487C"/>
    <w:rsid w:val="001E134C"/>
    <w:rsid w:val="001E27A0"/>
    <w:rsid w:val="001F3B98"/>
    <w:rsid w:val="001F5413"/>
    <w:rsid w:val="002009B3"/>
    <w:rsid w:val="00203260"/>
    <w:rsid w:val="00207D54"/>
    <w:rsid w:val="002119D3"/>
    <w:rsid w:val="00212EE0"/>
    <w:rsid w:val="002170E4"/>
    <w:rsid w:val="0022042D"/>
    <w:rsid w:val="00233522"/>
    <w:rsid w:val="0024622C"/>
    <w:rsid w:val="002658DF"/>
    <w:rsid w:val="002735A7"/>
    <w:rsid w:val="002B050A"/>
    <w:rsid w:val="002B1569"/>
    <w:rsid w:val="002C7A07"/>
    <w:rsid w:val="002D23CB"/>
    <w:rsid w:val="002D4176"/>
    <w:rsid w:val="00310996"/>
    <w:rsid w:val="003151F7"/>
    <w:rsid w:val="00340BFA"/>
    <w:rsid w:val="0034462F"/>
    <w:rsid w:val="00351651"/>
    <w:rsid w:val="00355AE9"/>
    <w:rsid w:val="0035770E"/>
    <w:rsid w:val="003942FA"/>
    <w:rsid w:val="003A167F"/>
    <w:rsid w:val="003A3644"/>
    <w:rsid w:val="003A596E"/>
    <w:rsid w:val="003B22BA"/>
    <w:rsid w:val="003B4341"/>
    <w:rsid w:val="003C0CF3"/>
    <w:rsid w:val="003C17B2"/>
    <w:rsid w:val="003C1BD4"/>
    <w:rsid w:val="003D27A4"/>
    <w:rsid w:val="003E1967"/>
    <w:rsid w:val="00432866"/>
    <w:rsid w:val="004360D1"/>
    <w:rsid w:val="00436C6D"/>
    <w:rsid w:val="00480EF5"/>
    <w:rsid w:val="0048266F"/>
    <w:rsid w:val="004A3931"/>
    <w:rsid w:val="004A62D0"/>
    <w:rsid w:val="004C2ED0"/>
    <w:rsid w:val="004D22E4"/>
    <w:rsid w:val="004D34E6"/>
    <w:rsid w:val="005248EB"/>
    <w:rsid w:val="00536053"/>
    <w:rsid w:val="00546B06"/>
    <w:rsid w:val="00561C8C"/>
    <w:rsid w:val="00574117"/>
    <w:rsid w:val="00576ECA"/>
    <w:rsid w:val="005808CE"/>
    <w:rsid w:val="00597D93"/>
    <w:rsid w:val="005B1AAD"/>
    <w:rsid w:val="005B1D47"/>
    <w:rsid w:val="005B3BB2"/>
    <w:rsid w:val="005B7DB1"/>
    <w:rsid w:val="005F4181"/>
    <w:rsid w:val="005F54A3"/>
    <w:rsid w:val="00631549"/>
    <w:rsid w:val="00636289"/>
    <w:rsid w:val="006858DC"/>
    <w:rsid w:val="006A155A"/>
    <w:rsid w:val="006A5CAF"/>
    <w:rsid w:val="006B12F7"/>
    <w:rsid w:val="006B535E"/>
    <w:rsid w:val="006C0232"/>
    <w:rsid w:val="006C1675"/>
    <w:rsid w:val="006C207A"/>
    <w:rsid w:val="006C64FD"/>
    <w:rsid w:val="007221F9"/>
    <w:rsid w:val="00755DA2"/>
    <w:rsid w:val="007576A1"/>
    <w:rsid w:val="00771315"/>
    <w:rsid w:val="00777FB9"/>
    <w:rsid w:val="007839EB"/>
    <w:rsid w:val="007867CC"/>
    <w:rsid w:val="00786C24"/>
    <w:rsid w:val="00790ACE"/>
    <w:rsid w:val="0079496A"/>
    <w:rsid w:val="007A5792"/>
    <w:rsid w:val="007B65C2"/>
    <w:rsid w:val="007B6608"/>
    <w:rsid w:val="007C580C"/>
    <w:rsid w:val="007D6A7F"/>
    <w:rsid w:val="00856B49"/>
    <w:rsid w:val="00864BE2"/>
    <w:rsid w:val="00876FD6"/>
    <w:rsid w:val="00883DCB"/>
    <w:rsid w:val="00894FD1"/>
    <w:rsid w:val="008A2EFC"/>
    <w:rsid w:val="008B3C88"/>
    <w:rsid w:val="008C7505"/>
    <w:rsid w:val="008E7289"/>
    <w:rsid w:val="008F6D28"/>
    <w:rsid w:val="00913748"/>
    <w:rsid w:val="00943C53"/>
    <w:rsid w:val="0097392B"/>
    <w:rsid w:val="00987ABC"/>
    <w:rsid w:val="009A7FC3"/>
    <w:rsid w:val="009B4377"/>
    <w:rsid w:val="009C30E7"/>
    <w:rsid w:val="009C4DFA"/>
    <w:rsid w:val="00A053CB"/>
    <w:rsid w:val="00A25756"/>
    <w:rsid w:val="00A45295"/>
    <w:rsid w:val="00A46703"/>
    <w:rsid w:val="00A52921"/>
    <w:rsid w:val="00A53542"/>
    <w:rsid w:val="00A625DF"/>
    <w:rsid w:val="00AA62E3"/>
    <w:rsid w:val="00AB08AA"/>
    <w:rsid w:val="00AC24CC"/>
    <w:rsid w:val="00AC5E09"/>
    <w:rsid w:val="00AC6536"/>
    <w:rsid w:val="00AC6995"/>
    <w:rsid w:val="00AE4055"/>
    <w:rsid w:val="00AF3851"/>
    <w:rsid w:val="00AF6EB8"/>
    <w:rsid w:val="00B30A97"/>
    <w:rsid w:val="00B33A3D"/>
    <w:rsid w:val="00B45F14"/>
    <w:rsid w:val="00B60009"/>
    <w:rsid w:val="00B612E2"/>
    <w:rsid w:val="00B659E3"/>
    <w:rsid w:val="00B72351"/>
    <w:rsid w:val="00B72B02"/>
    <w:rsid w:val="00B82D91"/>
    <w:rsid w:val="00B861FE"/>
    <w:rsid w:val="00B963E2"/>
    <w:rsid w:val="00BA35CD"/>
    <w:rsid w:val="00BC3D17"/>
    <w:rsid w:val="00BD274D"/>
    <w:rsid w:val="00BE01D9"/>
    <w:rsid w:val="00BE638B"/>
    <w:rsid w:val="00BF6A8B"/>
    <w:rsid w:val="00C025A4"/>
    <w:rsid w:val="00C031B6"/>
    <w:rsid w:val="00C12103"/>
    <w:rsid w:val="00C31E6F"/>
    <w:rsid w:val="00C743E3"/>
    <w:rsid w:val="00C74629"/>
    <w:rsid w:val="00C93BE0"/>
    <w:rsid w:val="00C94EEB"/>
    <w:rsid w:val="00CA0AD9"/>
    <w:rsid w:val="00CA3E3B"/>
    <w:rsid w:val="00CC4C8C"/>
    <w:rsid w:val="00CD6897"/>
    <w:rsid w:val="00CE381C"/>
    <w:rsid w:val="00D20095"/>
    <w:rsid w:val="00D2089C"/>
    <w:rsid w:val="00D22FA8"/>
    <w:rsid w:val="00D73D6E"/>
    <w:rsid w:val="00DA3CAF"/>
    <w:rsid w:val="00DA3F41"/>
    <w:rsid w:val="00DA6184"/>
    <w:rsid w:val="00DC0BBC"/>
    <w:rsid w:val="00DE427C"/>
    <w:rsid w:val="00E10BD1"/>
    <w:rsid w:val="00E335EE"/>
    <w:rsid w:val="00E37867"/>
    <w:rsid w:val="00E414DC"/>
    <w:rsid w:val="00E56CC0"/>
    <w:rsid w:val="00E6153F"/>
    <w:rsid w:val="00E96F93"/>
    <w:rsid w:val="00E97B1F"/>
    <w:rsid w:val="00EB0905"/>
    <w:rsid w:val="00EB3488"/>
    <w:rsid w:val="00EC1296"/>
    <w:rsid w:val="00EC6E22"/>
    <w:rsid w:val="00EC7B06"/>
    <w:rsid w:val="00ED337B"/>
    <w:rsid w:val="00ED742B"/>
    <w:rsid w:val="00EE1F49"/>
    <w:rsid w:val="00EE2874"/>
    <w:rsid w:val="00EF0EB3"/>
    <w:rsid w:val="00EF4DA9"/>
    <w:rsid w:val="00EF618A"/>
    <w:rsid w:val="00F21AF5"/>
    <w:rsid w:val="00F33F7E"/>
    <w:rsid w:val="00F37536"/>
    <w:rsid w:val="00F47155"/>
    <w:rsid w:val="00F95960"/>
    <w:rsid w:val="00F961D6"/>
    <w:rsid w:val="00FB08F9"/>
    <w:rsid w:val="00FB4DCB"/>
    <w:rsid w:val="00FC206B"/>
    <w:rsid w:val="00FE0195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FD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E7"/>
    <w:pPr>
      <w:spacing w:line="240" w:lineRule="auto"/>
      <w:jc w:val="left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9C4DF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kern w:val="0"/>
      <w:sz w:val="24"/>
      <w:szCs w:val="24"/>
      <w:u w:color="000000"/>
      <w:bdr w:val="nil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C4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DFA"/>
    <w:rPr>
      <w:rFonts w:eastAsia="Arial Unicode MS" w:cs="Times New Roman"/>
      <w:kern w:val="0"/>
      <w:sz w:val="24"/>
      <w:szCs w:val="24"/>
      <w:bdr w:val="nil"/>
      <w14:ligatures w14:val="none"/>
    </w:rPr>
  </w:style>
  <w:style w:type="paragraph" w:styleId="Footer">
    <w:name w:val="footer"/>
    <w:basedOn w:val="Normal"/>
    <w:link w:val="FooterChar"/>
    <w:unhideWhenUsed/>
    <w:rsid w:val="009C4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4DFA"/>
    <w:rPr>
      <w:rFonts w:eastAsia="Arial Unicode MS" w:cs="Times New Roman"/>
      <w:kern w:val="0"/>
      <w:sz w:val="24"/>
      <w:szCs w:val="24"/>
      <w:bdr w:val="nil"/>
      <w14:ligatures w14:val="none"/>
    </w:rPr>
  </w:style>
  <w:style w:type="paragraph" w:styleId="BodyText2">
    <w:name w:val="Body Text 2"/>
    <w:basedOn w:val="Normal"/>
    <w:link w:val="BodyText2Char"/>
    <w:rsid w:val="009C4DFA"/>
    <w:pPr>
      <w:jc w:val="both"/>
    </w:pPr>
    <w:rPr>
      <w:rFonts w:ascii=".VnTimeH" w:hAnsi=".VnTimeH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9C4DFA"/>
    <w:rPr>
      <w:rFonts w:ascii=".VnTimeH" w:eastAsia="Times New Roman" w:hAnsi=".VnTimeH" w:cs="Times New Roman"/>
      <w:b/>
      <w:kern w:val="0"/>
      <w:sz w:val="24"/>
      <w:szCs w:val="2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1E1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E7"/>
    <w:pPr>
      <w:spacing w:line="240" w:lineRule="auto"/>
      <w:jc w:val="left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9C4DF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kern w:val="0"/>
      <w:sz w:val="24"/>
      <w:szCs w:val="24"/>
      <w:u w:color="000000"/>
      <w:bdr w:val="nil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C4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DFA"/>
    <w:rPr>
      <w:rFonts w:eastAsia="Arial Unicode MS" w:cs="Times New Roman"/>
      <w:kern w:val="0"/>
      <w:sz w:val="24"/>
      <w:szCs w:val="24"/>
      <w:bdr w:val="nil"/>
      <w14:ligatures w14:val="none"/>
    </w:rPr>
  </w:style>
  <w:style w:type="paragraph" w:styleId="Footer">
    <w:name w:val="footer"/>
    <w:basedOn w:val="Normal"/>
    <w:link w:val="FooterChar"/>
    <w:unhideWhenUsed/>
    <w:rsid w:val="009C4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4DFA"/>
    <w:rPr>
      <w:rFonts w:eastAsia="Arial Unicode MS" w:cs="Times New Roman"/>
      <w:kern w:val="0"/>
      <w:sz w:val="24"/>
      <w:szCs w:val="24"/>
      <w:bdr w:val="nil"/>
      <w14:ligatures w14:val="none"/>
    </w:rPr>
  </w:style>
  <w:style w:type="paragraph" w:styleId="BodyText2">
    <w:name w:val="Body Text 2"/>
    <w:basedOn w:val="Normal"/>
    <w:link w:val="BodyText2Char"/>
    <w:rsid w:val="009C4DFA"/>
    <w:pPr>
      <w:jc w:val="both"/>
    </w:pPr>
    <w:rPr>
      <w:rFonts w:ascii=".VnTimeH" w:hAnsi=".VnTimeH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9C4DFA"/>
    <w:rPr>
      <w:rFonts w:ascii=".VnTimeH" w:eastAsia="Times New Roman" w:hAnsi=".VnTimeH" w:cs="Times New Roman"/>
      <w:b/>
      <w:kern w:val="0"/>
      <w:sz w:val="24"/>
      <w:szCs w:val="2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1E1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E5935-E662-4AAE-8D0F-436D321B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 Hoàng Trường Giang</dc:creator>
  <cp:lastModifiedBy>user</cp:lastModifiedBy>
  <cp:revision>2</cp:revision>
  <dcterms:created xsi:type="dcterms:W3CDTF">2024-04-11T14:55:00Z</dcterms:created>
  <dcterms:modified xsi:type="dcterms:W3CDTF">2024-04-11T14:55:00Z</dcterms:modified>
</cp:coreProperties>
</file>